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4D41D9">
      <w:pPr>
        <w:pStyle w:val="16"/>
        <w:jc w:val="both"/>
      </w:pPr>
      <w:r>
        <w:rPr>
          <w:rFonts w:ascii="Times New Roman" w:hAnsi="Times New Roman" w:eastAsia="Times New Roman" w:cs="Times New Roman"/>
          <w:b/>
          <w:bCs/>
        </w:rPr>
        <w:t>NÖBETÇİ AİLE MAHKEMESİNE</w:t>
      </w:r>
    </w:p>
    <w:p w14:paraId="39BEEAE1">
      <w:pPr>
        <w:pStyle w:val="16"/>
        <w:jc w:val="left"/>
      </w:pPr>
      <w:r>
        <w:rPr>
          <w:rFonts w:ascii="Times New Roman" w:hAnsi="Times New Roman" w:eastAsia="Times New Roman" w:cs="Times New Roman"/>
          <w:b/>
          <w:bCs/>
        </w:rPr>
        <w:t>DAVACI:</w:t>
      </w:r>
      <w:r>
        <w:rPr>
          <w:rFonts w:ascii="Times New Roman" w:hAnsi="Times New Roman" w:eastAsia="Times New Roman" w:cs="Times New Roman"/>
        </w:rPr>
        <w:t xml:space="preserve"> [Ad Soyad] (T.C. Kimlik No: [•])</w:t>
      </w:r>
      <w:r>
        <w:rPr>
          <w:rFonts w:ascii="Times New Roman" w:hAnsi="Times New Roman" w:eastAsia="Times New Roman" w:cs="Times New Roman"/>
        </w:rPr>
        <w:br w:type="textWrapping"/>
      </w:r>
      <w:r>
        <w:rPr>
          <w:rFonts w:ascii="Times New Roman" w:hAnsi="Times New Roman" w:eastAsia="Times New Roman" w:cs="Times New Roman"/>
          <w:b/>
          <w:bCs/>
        </w:rPr>
        <w:t>ADRES:</w:t>
      </w:r>
      <w:r>
        <w:rPr>
          <w:rFonts w:ascii="Times New Roman" w:hAnsi="Times New Roman" w:eastAsia="Times New Roman" w:cs="Times New Roman"/>
        </w:rPr>
        <w:t xml:space="preserve"> [•]</w:t>
      </w:r>
    </w:p>
    <w:p w14:paraId="365F51DD">
      <w:pPr>
        <w:pStyle w:val="16"/>
        <w:jc w:val="left"/>
      </w:pPr>
      <w:r>
        <w:rPr>
          <w:rFonts w:ascii="Times New Roman" w:hAnsi="Times New Roman" w:eastAsia="Times New Roman" w:cs="Times New Roman"/>
          <w:b/>
          <w:bCs/>
        </w:rPr>
        <w:t>VEKİLİ:</w:t>
      </w:r>
      <w:r>
        <w:rPr>
          <w:rFonts w:ascii="Times New Roman" w:hAnsi="Times New Roman" w:eastAsia="Times New Roman" w:cs="Times New Roman"/>
        </w:rPr>
        <w:t xml:space="preserve"> Av. [Ad Soyad]</w:t>
      </w:r>
      <w:r>
        <w:rPr>
          <w:rFonts w:ascii="Times New Roman" w:hAnsi="Times New Roman" w:eastAsia="Times New Roman" w:cs="Times New Roman"/>
        </w:rPr>
        <w:br w:type="textWrapping"/>
      </w:r>
      <w:r>
        <w:rPr>
          <w:rFonts w:ascii="Times New Roman" w:hAnsi="Times New Roman" w:eastAsia="Times New Roman" w:cs="Times New Roman"/>
          <w:b/>
          <w:bCs/>
        </w:rPr>
        <w:t>ADRES:</w:t>
      </w:r>
      <w:r>
        <w:rPr>
          <w:rFonts w:ascii="Times New Roman" w:hAnsi="Times New Roman" w:eastAsia="Times New Roman" w:cs="Times New Roman"/>
        </w:rPr>
        <w:t xml:space="preserve"> [•]</w:t>
      </w:r>
    </w:p>
    <w:p w14:paraId="5493A760">
      <w:pPr>
        <w:pStyle w:val="16"/>
        <w:jc w:val="left"/>
      </w:pPr>
      <w:r>
        <w:rPr>
          <w:rFonts w:ascii="Times New Roman" w:hAnsi="Times New Roman" w:eastAsia="Times New Roman" w:cs="Times New Roman"/>
          <w:b/>
          <w:bCs/>
        </w:rPr>
        <w:t>DAVALI:</w:t>
      </w:r>
      <w:r>
        <w:rPr>
          <w:rFonts w:ascii="Times New Roman" w:hAnsi="Times New Roman" w:eastAsia="Times New Roman" w:cs="Times New Roman"/>
        </w:rPr>
        <w:t xml:space="preserve"> [Ad Soyad] (T.C. Kimlik No: [•])</w:t>
      </w:r>
      <w:r>
        <w:rPr>
          <w:rFonts w:ascii="Times New Roman" w:hAnsi="Times New Roman" w:eastAsia="Times New Roman" w:cs="Times New Roman"/>
        </w:rPr>
        <w:br w:type="textWrapping"/>
      </w:r>
      <w:r>
        <w:rPr>
          <w:rFonts w:ascii="Times New Roman" w:hAnsi="Times New Roman" w:eastAsia="Times New Roman" w:cs="Times New Roman"/>
          <w:b/>
          <w:bCs/>
        </w:rPr>
        <w:t>ADRES:</w:t>
      </w:r>
      <w:r>
        <w:rPr>
          <w:rFonts w:ascii="Times New Roman" w:hAnsi="Times New Roman" w:eastAsia="Times New Roman" w:cs="Times New Roman"/>
        </w:rPr>
        <w:t xml:space="preserve"> [•]</w:t>
      </w:r>
    </w:p>
    <w:p w14:paraId="64FA5993">
      <w:pPr>
        <w:pStyle w:val="16"/>
        <w:jc w:val="both"/>
      </w:pPr>
      <w:r>
        <w:rPr>
          <w:rFonts w:ascii="Times New Roman" w:hAnsi="Times New Roman" w:eastAsia="Times New Roman" w:cs="Times New Roman"/>
          <w:b/>
          <w:bCs/>
        </w:rPr>
        <w:t>DAVA KONUSU:</w:t>
      </w:r>
      <w:r>
        <w:rPr>
          <w:rFonts w:ascii="Times New Roman" w:hAnsi="Times New Roman" w:eastAsia="Times New Roman" w:cs="Times New Roman"/>
        </w:rPr>
        <w:t xml:space="preserve"> 4721 sayılı Türk Medeni Kanunu'nun 173. maddesinin ikinci fıkrası uyarınca, müvekkilin boşandığı eşinin soyadını kullanmasına izin verilmesi talebimizden ibarettir.</w:t>
      </w:r>
    </w:p>
    <w:p w14:paraId="3FD8C453">
      <w:pPr>
        <w:pStyle w:val="16"/>
        <w:jc w:val="both"/>
      </w:pPr>
      <w:r>
        <w:rPr>
          <w:rFonts w:ascii="Times New Roman" w:hAnsi="Times New Roman" w:eastAsia="Times New Roman" w:cs="Times New Roman"/>
          <w:b/>
          <w:bCs/>
        </w:rPr>
        <w:t>AÇIKLAMALAR:</w:t>
      </w:r>
    </w:p>
    <w:p w14:paraId="02A97188">
      <w:pPr>
        <w:pStyle w:val="16"/>
        <w:jc w:val="both"/>
      </w:pPr>
      <w:r>
        <w:rPr>
          <w:rFonts w:ascii="Times New Roman" w:hAnsi="Times New Roman" w:eastAsia="Times New Roman" w:cs="Times New Roman"/>
          <w:b/>
          <w:bCs/>
        </w:rPr>
        <w:t>1. TARAFLAR ARASINDAKİ BOŞANMA KARARI KESİNLEŞMİŞ BULUNMAKTADIR</w:t>
      </w:r>
    </w:p>
    <w:p w14:paraId="067D404F">
      <w:pPr>
        <w:pStyle w:val="16"/>
        <w:jc w:val="both"/>
      </w:pPr>
      <w:r>
        <w:rPr>
          <w:rFonts w:ascii="Times New Roman" w:hAnsi="Times New Roman" w:eastAsia="Times New Roman" w:cs="Times New Roman"/>
        </w:rPr>
        <w:t xml:space="preserve">Müvekkil davacı ile davalı taraf, [Mahkeme Adı] Aile Mahkemesinin [Esas No] Esas ve [Karar No] Karar sayılı ilamı ile boşanmış olup söz konusu karar kesinleşmiştir. Boşanma kararının kesinleşmesiyle birlikte usul hukuku bakımından işbu davanın ön şartı yerine gelmiş bulunmaktadır. Nitekim Yargıtay 2. Hukuk Dairesi'nin 19.03.2024 tarihli, E. 2023/9846 ve K. 2024/1921 sayılı kararında da açıkça vurgulandığı üzere; </w:t>
      </w:r>
      <w:r>
        <w:rPr>
          <w:rFonts w:ascii="Times New Roman" w:hAnsi="Times New Roman" w:eastAsia="Times New Roman" w:cs="Times New Roman"/>
          <w:i/>
          <w:iCs/>
        </w:rPr>
        <w:t>"davalı-davacı kadının eşinin soyadına kullanmasına izin verilmesi isteğinin boşanmanın eki niteliğinde olmadığı, ayrı bir dava olup, maktu harca tabi olduğu"</w:t>
      </w:r>
      <w:r>
        <w:rPr>
          <w:rFonts w:ascii="Times New Roman" w:hAnsi="Times New Roman" w:eastAsia="Times New Roman" w:cs="Times New Roman"/>
        </w:rPr>
        <w:t xml:space="preserve"> ilkesi uyarınca, bağımsız bir dava ikame edilerek Türk Medeni Kanunu m. 173/2 kapsamında soyadı kullanım izni talep etme zorunluluğu doğmuştur.</w:t>
      </w:r>
    </w:p>
    <w:p w14:paraId="0FBF7921">
      <w:pPr>
        <w:pStyle w:val="16"/>
        <w:jc w:val="both"/>
      </w:pPr>
      <w:r>
        <w:rPr>
          <w:rFonts w:ascii="Times New Roman" w:hAnsi="Times New Roman" w:eastAsia="Times New Roman" w:cs="Times New Roman"/>
          <w:b/>
          <w:bCs/>
        </w:rPr>
        <w:t>2. MÜVEKKİLİN BOŞANDIĞI EŞİNİN SOYADINI KULLANMAYA DEVAM ETMESİNDE HUKUKİ, MESLEKİ VE SOSYAL MENFAATİ BULUNMAKTADIR</w:t>
      </w:r>
    </w:p>
    <w:p w14:paraId="5C5B6A0F">
      <w:pPr>
        <w:pStyle w:val="16"/>
        <w:jc w:val="both"/>
      </w:pPr>
      <w:r>
        <w:rPr>
          <w:rFonts w:ascii="Times New Roman" w:hAnsi="Times New Roman" w:eastAsia="Times New Roman" w:cs="Times New Roman"/>
        </w:rPr>
        <w:t xml:space="preserve">Türk Medeni Kanunu'nun 173. maddesinin ikinci fıkrasında; </w:t>
      </w:r>
      <w:r>
        <w:rPr>
          <w:rFonts w:ascii="Times New Roman" w:hAnsi="Times New Roman" w:eastAsia="Times New Roman" w:cs="Times New Roman"/>
          <w:i/>
          <w:iCs/>
        </w:rPr>
        <w:t>"Boşanan kadın, evlenmeden önceki soyadını yeniden alır. Ancak, kadının boşandığı kocasının soyadını kullanmakta menfaati bulunduğu ve bunun kocaya bir zarar vermeyeceği ispatlanırsa, istemi üzerine hâkim, kocasının soyadını taşımasına izin verir."</w:t>
      </w:r>
      <w:r>
        <w:rPr>
          <w:rFonts w:ascii="Times New Roman" w:hAnsi="Times New Roman" w:eastAsia="Times New Roman" w:cs="Times New Roman"/>
        </w:rPr>
        <w:t xml:space="preserve"> hükmü amirdir.</w:t>
      </w:r>
    </w:p>
    <w:p w14:paraId="4C470421">
      <w:pPr>
        <w:pStyle w:val="16"/>
        <w:jc w:val="both"/>
      </w:pPr>
      <w:r>
        <w:rPr>
          <w:rFonts w:ascii="Times New Roman" w:hAnsi="Times New Roman" w:eastAsia="Times New Roman" w:cs="Times New Roman"/>
        </w:rPr>
        <w:t>Müvekkil, uzun yıllar süren evlilik birliği boyunca davalının soyadı ile anılmış; tüm mesleki, ticari, akademik ve sosyal çevresini bu soyadı altında inşa etmiştir. Müvekkilin iş hayatında ve ticari ilişkilerinde oluşturduğu itibar, güven ve tanınırlık tamamen bu soyadı üzerine kuruludur. Soyadının aniden değişmesi durumunda, müvekkilin gerek iş ortakları gerekse hitap ettiği müşteri ve mesleki çevre nezdinde kimlik karmaşası yaşanacak, yıllar boyunca büyük emeklerle edinilen ticari ve mesleki itibar ağır bir şekilde zedelenecektir.</w:t>
      </w:r>
    </w:p>
    <w:p w14:paraId="6565B672">
      <w:pPr>
        <w:pStyle w:val="16"/>
        <w:jc w:val="both"/>
      </w:pPr>
      <w:r>
        <w:rPr>
          <w:rFonts w:ascii="Times New Roman" w:hAnsi="Times New Roman" w:eastAsia="Times New Roman" w:cs="Times New Roman"/>
        </w:rPr>
        <w:t xml:space="preserve">Bu doğrultuda Yargıtay 2. Hukuk Dairesi, 23.09.2024 tarihli, E. 2024/3961 ve K. 2024/6272 sayılı ilamında; </w:t>
      </w:r>
      <w:r>
        <w:rPr>
          <w:rFonts w:ascii="Times New Roman" w:hAnsi="Times New Roman" w:eastAsia="Times New Roman" w:cs="Times New Roman"/>
          <w:i/>
          <w:iCs/>
        </w:rPr>
        <w:t>"kadının eski kocasının soyadını kullanmakta meslek icrasındaki tanınmışlık, iş hayatındaki menfaat, sosyal hayatında bu isimle tanınma gibi menfaatlerinin olduğu"</w:t>
      </w:r>
      <w:r>
        <w:rPr>
          <w:rFonts w:ascii="Times New Roman" w:hAnsi="Times New Roman" w:eastAsia="Times New Roman" w:cs="Times New Roman"/>
        </w:rPr>
        <w:t xml:space="preserve"> gerekçesiyle mesleki ve sosyal kazanımların soyadını muhafaza etmede yeterli ve meşru bir menfaat oluşturduğunu açıkça belirtmiştir.</w:t>
      </w:r>
    </w:p>
    <w:p w14:paraId="5C29ECA5">
      <w:pPr>
        <w:pStyle w:val="16"/>
        <w:jc w:val="both"/>
      </w:pPr>
      <w:r>
        <w:rPr>
          <w:rFonts w:ascii="Times New Roman" w:hAnsi="Times New Roman" w:eastAsia="Times New Roman" w:cs="Times New Roman"/>
        </w:rPr>
        <w:t>Benzer şekilde Yargıtay 2. Hukuk Dairesi, 31.10.2024 tarihli, E. 2024/5079 ve K. 2024/8092 sayılı ilamında da mesleki konumun korunmasının haklı menfaat niteliğini şu ifadelerle teyit etmiştir:</w:t>
      </w:r>
    </w:p>
    <w:p w14:paraId="36AD8992">
      <w:pPr>
        <w:pStyle w:val="21"/>
        <w:jc w:val="both"/>
      </w:pPr>
      <w:r>
        <w:rPr>
          <w:rFonts w:ascii="Times New Roman" w:hAnsi="Times New Roman" w:eastAsia="Times New Roman" w:cs="Times New Roman"/>
          <w:i/>
          <w:iCs/>
          <w:color w:val="595959"/>
        </w:rPr>
        <w:t>"davalının üst düzey yönetici olup çalışma hayatında bu soy ismini ile tanındığı, davalı kadının boşandığı eşinin soyadını kullanmakta menfaatinin olduğu ayrıca erkek eş tarafından kadının soyadını kullanımından kaynaklı somut bir zararın oluştuğunun ispat edilemediği"</w:t>
      </w:r>
    </w:p>
    <w:p w14:paraId="0E8E4593">
      <w:pPr>
        <w:pStyle w:val="16"/>
        <w:jc w:val="both"/>
      </w:pPr>
      <w:r>
        <w:rPr>
          <w:rFonts w:ascii="Times New Roman" w:hAnsi="Times New Roman" w:eastAsia="Times New Roman" w:cs="Times New Roman"/>
        </w:rPr>
        <w:t xml:space="preserve">Müvekkilin iş ve sosyal yaşamında bu soyadıyla bilinirliği tartışmasız olup, Yargıtay 2. Hukuk Dairesi'nin 26.03.2024 tarihli, E. 2024/1835 ve K. 2024/2123 sayılı kararında ifade edildiği üzere, </w:t>
      </w:r>
      <w:r>
        <w:rPr>
          <w:rFonts w:ascii="Times New Roman" w:hAnsi="Times New Roman" w:eastAsia="Times New Roman" w:cs="Times New Roman"/>
          <w:i/>
          <w:iCs/>
        </w:rPr>
        <w:t>"davalı kadının iş ve sosyal yaşamında Vardarbaşı soyadıyla tanınıp bilindiği, bu nedenle eski eşin soyadını kullanmakta menfaati bulunduğu"</w:t>
      </w:r>
      <w:r>
        <w:rPr>
          <w:rFonts w:ascii="Times New Roman" w:hAnsi="Times New Roman" w:eastAsia="Times New Roman" w:cs="Times New Roman"/>
        </w:rPr>
        <w:t xml:space="preserve"> gerçeği somut olayımızla birebir örtüşmektedir.</w:t>
      </w:r>
    </w:p>
    <w:p w14:paraId="5991DFE4">
      <w:pPr>
        <w:pStyle w:val="16"/>
        <w:jc w:val="both"/>
      </w:pPr>
      <w:r>
        <w:rPr>
          <w:rFonts w:ascii="Times New Roman" w:hAnsi="Times New Roman" w:eastAsia="Times New Roman" w:cs="Times New Roman"/>
        </w:rPr>
        <w:t xml:space="preserve">Ayrıca tarafların müşterek çocukları bulunmakta olup çocukların anneleriyle aynı soyadını taşımaya devam etmesi, hem çocuğun ruhsal gelişimi ve sosyal aidiyeti hem de okul ve resmi kurumlardaki işleyişin sekteye uğramaması adına büyük bir öneme sahiptir. Yargıtay 2. Hukuk Dairesi'nin 26.03.2024 tarihli, E. 2022/11042 ve K. 2024/2099 sayılı kararında; </w:t>
      </w:r>
      <w:r>
        <w:rPr>
          <w:rFonts w:ascii="Times New Roman" w:hAnsi="Times New Roman" w:eastAsia="Times New Roman" w:cs="Times New Roman"/>
          <w:i/>
          <w:iCs/>
        </w:rPr>
        <w:t>"ortak çocukla annenin aynı soyadı taşımasının ortak çocuğun yararına olacağı dikkate alınarak erkeğin soyadını kullanmaya izin davasının kabulü ile kadının, boşanmadan sonra yalnızca Köse olan soyadını kullanmasına izin verilmesine karar verilmiştir."</w:t>
      </w:r>
      <w:r>
        <w:rPr>
          <w:rFonts w:ascii="Times New Roman" w:hAnsi="Times New Roman" w:eastAsia="Times New Roman" w:cs="Times New Roman"/>
        </w:rPr>
        <w:t xml:space="preserve"> denilerek müşterek çocuğun üstün yararı ile anne arasındaki soyadı birliğinin korunması gerektiği hükme bağlanmıştır. Aynı Dairenin 13.02.2024 tarihli, E. 2023/9121 ve K. 2024/827 sayılı kararında da </w:t>
      </w:r>
      <w:r>
        <w:rPr>
          <w:rFonts w:ascii="Times New Roman" w:hAnsi="Times New Roman" w:eastAsia="Times New Roman" w:cs="Times New Roman"/>
          <w:i/>
          <w:iCs/>
        </w:rPr>
        <w:t>"davalının çocukları ile aynı soyadı kullanmasına yönelik menfaatinin devam ettiği"</w:t>
      </w:r>
      <w:r>
        <w:rPr>
          <w:rFonts w:ascii="Times New Roman" w:hAnsi="Times New Roman" w:eastAsia="Times New Roman" w:cs="Times New Roman"/>
        </w:rPr>
        <w:t xml:space="preserve"> tespitiyle bu yöndeki menfaatin hukuken korunması gerektiği perçinlenmiştir.</w:t>
      </w:r>
    </w:p>
    <w:p w14:paraId="0F09826D">
      <w:pPr>
        <w:pStyle w:val="16"/>
        <w:jc w:val="both"/>
      </w:pPr>
      <w:r>
        <w:rPr>
          <w:rFonts w:ascii="Times New Roman" w:hAnsi="Times New Roman" w:eastAsia="Times New Roman" w:cs="Times New Roman"/>
          <w:b/>
          <w:bCs/>
        </w:rPr>
        <w:t>3. SOYADININ KULLANILMASININ DAVALI ERKEĞE HERHANGİ BİR SOMUT ZARARI BULUNMAMAKTADIR</w:t>
      </w:r>
    </w:p>
    <w:p w14:paraId="546C4791">
      <w:pPr>
        <w:pStyle w:val="16"/>
        <w:jc w:val="both"/>
      </w:pPr>
      <w:r>
        <w:rPr>
          <w:rFonts w:ascii="Times New Roman" w:hAnsi="Times New Roman" w:eastAsia="Times New Roman" w:cs="Times New Roman"/>
        </w:rPr>
        <w:t>Kanun koyucunun aradığı ikinci koşul ise soyadının kullanımının kocaya bir zarar vermemesidir. Yargıtay'ın yerleşik ve istikrarlı içtihatlarına göre, bir kimsenin yalnızca soyadının eski eşi tarafından taşınmasından rahatsızlık duyması, soyut hoşnutsuzluklar veya taraflar arasındaki husumet hukuken dikkate alınabilir bir zarar olarak kabul edilemez. Zararın varlığından söz edebilmek için davalının şahsına, şerefine, mesleki veya ekonomik varlığına yönelen somut ve ispatlanabilir bir zararın ortaya konulması şarttır.</w:t>
      </w:r>
    </w:p>
    <w:p w14:paraId="73E65D1E">
      <w:pPr>
        <w:pStyle w:val="16"/>
        <w:jc w:val="both"/>
      </w:pPr>
      <w:r>
        <w:rPr>
          <w:rFonts w:ascii="Times New Roman" w:hAnsi="Times New Roman" w:eastAsia="Times New Roman" w:cs="Times New Roman"/>
        </w:rPr>
        <w:t xml:space="preserve">Nitekim Yargıtay 2. Hukuk Dairesi'nin 23.09.2024 tarihli, E. 2024/3961 ve K. 2024/6272 sayılı kararında </w:t>
      </w:r>
      <w:r>
        <w:rPr>
          <w:rFonts w:ascii="Times New Roman" w:hAnsi="Times New Roman" w:eastAsia="Times New Roman" w:cs="Times New Roman"/>
          <w:i/>
          <w:iCs/>
        </w:rPr>
        <w:t>"kadının boşandığı kocasının soyadını kullanmasının davalıya bir zarar vermediği"</w:t>
      </w:r>
      <w:r>
        <w:rPr>
          <w:rFonts w:ascii="Times New Roman" w:hAnsi="Times New Roman" w:eastAsia="Times New Roman" w:cs="Times New Roman"/>
        </w:rPr>
        <w:t xml:space="preserve"> tespiti yapılmış; 26.03.2024 tarihli, E. 2022/11042 ve K. 2024/2099 sayılı kararında da </w:t>
      </w:r>
      <w:r>
        <w:rPr>
          <w:rFonts w:ascii="Times New Roman" w:hAnsi="Times New Roman" w:eastAsia="Times New Roman" w:cs="Times New Roman"/>
          <w:i/>
          <w:iCs/>
        </w:rPr>
        <w:t>"kadının, erkeğin soyadını kullanmakta menfaati olduğu, bu durumun erkeğe zarar vermeyeceği"</w:t>
      </w:r>
      <w:r>
        <w:rPr>
          <w:rFonts w:ascii="Times New Roman" w:hAnsi="Times New Roman" w:eastAsia="Times New Roman" w:cs="Times New Roman"/>
        </w:rPr>
        <w:t xml:space="preserve"> kabul edilerek izin taleplerinin yerindeliği vurgulanmıştır.</w:t>
      </w:r>
    </w:p>
    <w:p w14:paraId="56D4698A">
      <w:pPr>
        <w:pStyle w:val="16"/>
        <w:jc w:val="both"/>
      </w:pPr>
      <w:r>
        <w:rPr>
          <w:rFonts w:ascii="Times New Roman" w:hAnsi="Times New Roman" w:eastAsia="Times New Roman" w:cs="Times New Roman"/>
        </w:rPr>
        <w:t xml:space="preserve">Müvekkilin kendi saygın mesleki ve sosyal hayatı çerçevesinde evlilik süresince taşıdığı soyadını muhafaza etmesi, davalı erkeğin kişilik haklarına yahut maddi/manevi menfaatlerine hiçbir zarar vermemektedir. Yargıtay 2. Hukuk Dairesi'nin 19.09.2024 tarihli, E. 2024/237 ve K. 2024/6168 sayılı kararında; </w:t>
      </w:r>
      <w:r>
        <w:rPr>
          <w:rFonts w:ascii="Times New Roman" w:hAnsi="Times New Roman" w:eastAsia="Times New Roman" w:cs="Times New Roman"/>
          <w:i/>
          <w:iCs/>
        </w:rPr>
        <w:t>"ispat yükünün davacıda olduğunu, davacı erkek tarafından kadının soyadını kullanımından kaynaklı somut bir zararın ispat edilemediği"</w:t>
      </w:r>
      <w:r>
        <w:rPr>
          <w:rFonts w:ascii="Times New Roman" w:hAnsi="Times New Roman" w:eastAsia="Times New Roman" w:cs="Times New Roman"/>
        </w:rPr>
        <w:t xml:space="preserve"> vurgulanmış; 08.02.2024 tarihli, E. 2023/8622 ve K. 2024/709 sayılı kararında ise davalı erkeğin soyadının kullanılmasından kaynaklanan somut bir zararı kanıtlayamadığı hallerde talebin reddedilemeyeceği hususu yer bulmuştur.</w:t>
      </w:r>
    </w:p>
    <w:p w14:paraId="77D840A7">
      <w:pPr>
        <w:pStyle w:val="16"/>
        <w:jc w:val="both"/>
      </w:pPr>
      <w:r>
        <w:rPr>
          <w:rFonts w:ascii="Times New Roman" w:hAnsi="Times New Roman" w:eastAsia="Times New Roman" w:cs="Times New Roman"/>
        </w:rPr>
        <w:t>Tüm bu hususlar bir arada değerlendirildiğinde; müvekkilin evlilik süresince taşıdığı soyadıyla tanınmış olması, iş ve sosyal hayatındaki yerleşik itibarı, çocuklarıyla olan bağın korunması gibi unsurlar haklı menfaatin varlığını kesin olarak kanıtlamakta olup, davalı açısından somut hiçbir zararın bulunmadığı sabittir.</w:t>
      </w:r>
    </w:p>
    <w:p w14:paraId="464929E1">
      <w:pPr>
        <w:pStyle w:val="16"/>
        <w:jc w:val="both"/>
      </w:pPr>
      <w:r>
        <w:rPr>
          <w:rFonts w:ascii="Times New Roman" w:hAnsi="Times New Roman" w:eastAsia="Times New Roman" w:cs="Times New Roman"/>
          <w:b/>
          <w:bCs/>
        </w:rPr>
        <w:t>HUKUKİ SEBEPLER:</w:t>
      </w:r>
      <w:r>
        <w:rPr>
          <w:rFonts w:ascii="Times New Roman" w:hAnsi="Times New Roman" w:eastAsia="Times New Roman" w:cs="Times New Roman"/>
        </w:rPr>
        <w:t xml:space="preserve"> 4721 sayılı Türk Medeni Kanunu m. 173 ve ilgili hükümleri, 6100 sayılı Hukuk Muhakemeleri Kanunu, 4787 sayılı Aile Mahkemelerinin Kuruluş, Görev ve Yargılama Usullerine Dair Kanun ve ilgili yasal mevzuat.</w:t>
      </w:r>
    </w:p>
    <w:p w14:paraId="6BB46375">
      <w:pPr>
        <w:pStyle w:val="16"/>
        <w:jc w:val="both"/>
      </w:pPr>
      <w:r>
        <w:rPr>
          <w:rFonts w:ascii="Times New Roman" w:hAnsi="Times New Roman" w:eastAsia="Times New Roman" w:cs="Times New Roman"/>
          <w:b/>
          <w:bCs/>
        </w:rPr>
        <w:t>DELİLLER:</w:t>
      </w:r>
    </w:p>
    <w:p w14:paraId="288C65E2">
      <w:pPr>
        <w:pStyle w:val="16"/>
        <w:numPr>
          <w:ilvl w:val="0"/>
          <w:numId w:val="1"/>
        </w:numPr>
        <w:spacing w:after="120" w:line="276" w:lineRule="auto"/>
        <w:jc w:val="both"/>
      </w:pPr>
      <w:r>
        <w:rPr>
          <w:rFonts w:ascii="Times New Roman" w:hAnsi="Times New Roman" w:eastAsia="Times New Roman" w:cs="Times New Roman"/>
        </w:rPr>
        <w:t>[Mahkeme Adı] Aile Mahkemesinin [Esas No] Esas, [Karar No] Karar sayılı kesinleşmiş boşanma ilamı ve kesinleşme şerhi,</w:t>
      </w:r>
    </w:p>
    <w:p w14:paraId="2346D780">
      <w:pPr>
        <w:pStyle w:val="16"/>
        <w:numPr>
          <w:ilvl w:val="0"/>
          <w:numId w:val="1"/>
        </w:numPr>
        <w:spacing w:after="120" w:line="276" w:lineRule="auto"/>
        <w:jc w:val="both"/>
      </w:pPr>
      <w:r>
        <w:rPr>
          <w:rFonts w:ascii="Times New Roman" w:hAnsi="Times New Roman" w:eastAsia="Times New Roman" w:cs="Times New Roman"/>
        </w:rPr>
        <w:t>Taraflara ve ortak çocuklara ait vukuatlı nüfus kayıt tablosu (Mahkemenizce celbi talep olunur),</w:t>
      </w:r>
    </w:p>
    <w:p w14:paraId="4658056E">
      <w:pPr>
        <w:pStyle w:val="16"/>
        <w:numPr>
          <w:ilvl w:val="0"/>
          <w:numId w:val="1"/>
        </w:numPr>
        <w:spacing w:after="120" w:line="276" w:lineRule="auto"/>
        <w:jc w:val="both"/>
      </w:pPr>
      <w:r>
        <w:rPr>
          <w:rFonts w:ascii="Times New Roman" w:hAnsi="Times New Roman" w:eastAsia="Times New Roman" w:cs="Times New Roman"/>
        </w:rPr>
        <w:t>Müvekkilin mesleki ve ticari faaliyetlerine, unvan ve yetkilerine ilişkin resmi belgeler, çalışma belgeleri, kartvizitler, mesleki oda/birlik kayıtları,</w:t>
      </w:r>
    </w:p>
    <w:p w14:paraId="0CD6BB75">
      <w:pPr>
        <w:pStyle w:val="16"/>
        <w:numPr>
          <w:ilvl w:val="0"/>
          <w:numId w:val="1"/>
        </w:numPr>
        <w:spacing w:after="120" w:line="276" w:lineRule="auto"/>
        <w:jc w:val="both"/>
      </w:pPr>
      <w:r>
        <w:rPr>
          <w:rFonts w:ascii="Times New Roman" w:hAnsi="Times New Roman" w:eastAsia="Times New Roman" w:cs="Times New Roman"/>
        </w:rPr>
        <w:t>Müvekkilin sosyal ve iş hayatında bu soyadı ile tanındığını teyit eden kurumsal yazışmalar, protokol kayıtları, sertifikalar ve sair tanıtım evrakı,</w:t>
      </w:r>
    </w:p>
    <w:p w14:paraId="28F15D51">
      <w:pPr>
        <w:pStyle w:val="16"/>
        <w:numPr>
          <w:ilvl w:val="0"/>
          <w:numId w:val="1"/>
        </w:numPr>
        <w:spacing w:after="120" w:line="276" w:lineRule="auto"/>
        <w:jc w:val="both"/>
      </w:pPr>
      <w:r>
        <w:rPr>
          <w:rFonts w:ascii="Times New Roman" w:hAnsi="Times New Roman" w:eastAsia="Times New Roman" w:cs="Times New Roman"/>
        </w:rPr>
        <w:t>Tanık beyanları (Tanıkların isim ve adresleri bilahare bildirilecektir),</w:t>
      </w:r>
    </w:p>
    <w:p w14:paraId="1195083B">
      <w:pPr>
        <w:pStyle w:val="16"/>
        <w:numPr>
          <w:ilvl w:val="0"/>
          <w:numId w:val="1"/>
        </w:numPr>
        <w:spacing w:after="120" w:line="276" w:lineRule="auto"/>
        <w:jc w:val="both"/>
      </w:pPr>
      <w:r>
        <w:rPr>
          <w:rFonts w:ascii="Times New Roman" w:hAnsi="Times New Roman" w:eastAsia="Times New Roman" w:cs="Times New Roman"/>
        </w:rPr>
        <w:t>Bilirkişi incelemesi, yemin ve ikamesi caiz her türlü yasal delil.</w:t>
      </w:r>
    </w:p>
    <w:p w14:paraId="564767CE">
      <w:pPr>
        <w:pStyle w:val="16"/>
        <w:jc w:val="both"/>
      </w:pPr>
      <w:r>
        <w:rPr>
          <w:rFonts w:ascii="Times New Roman" w:hAnsi="Times New Roman" w:eastAsia="Times New Roman" w:cs="Times New Roman"/>
          <w:b/>
          <w:bCs/>
        </w:rPr>
        <w:t>NETİCE-İ TALEP:</w:t>
      </w:r>
      <w:r>
        <w:rPr>
          <w:rFonts w:ascii="Times New Roman" w:hAnsi="Times New Roman" w:eastAsia="Times New Roman" w:cs="Times New Roman"/>
        </w:rPr>
        <w:t xml:space="preserve"> Yukarıda arz ve izah olunan gerekçeler ile Sayın Mahkemenizce re'sen gözetilecek nedenlerle;</w:t>
      </w:r>
    </w:p>
    <w:p w14:paraId="6DF03772">
      <w:pPr>
        <w:pStyle w:val="16"/>
        <w:numPr>
          <w:ilvl w:val="0"/>
          <w:numId w:val="1"/>
        </w:numPr>
        <w:spacing w:after="120" w:line="276" w:lineRule="auto"/>
        <w:jc w:val="both"/>
      </w:pPr>
      <w:r>
        <w:rPr>
          <w:rFonts w:ascii="Times New Roman" w:hAnsi="Times New Roman" w:eastAsia="Times New Roman" w:cs="Times New Roman"/>
        </w:rPr>
        <w:t xml:space="preserve">Davamızın </w:t>
      </w:r>
      <w:r>
        <w:rPr>
          <w:rFonts w:ascii="Times New Roman" w:hAnsi="Times New Roman" w:eastAsia="Times New Roman" w:cs="Times New Roman"/>
          <w:b/>
          <w:bCs/>
        </w:rPr>
        <w:t>KABULÜ</w:t>
      </w:r>
      <w:r>
        <w:rPr>
          <w:rFonts w:ascii="Times New Roman" w:hAnsi="Times New Roman" w:eastAsia="Times New Roman" w:cs="Times New Roman"/>
        </w:rPr>
        <w:t xml:space="preserve"> ile, 4721 sayılı Türk Medeni Kanunu'nun 173/2. maddesi gereğince müvekkil davacının, boşandığı eşi davalının </w:t>
      </w:r>
      <w:r>
        <w:rPr>
          <w:rFonts w:ascii="Times New Roman" w:hAnsi="Times New Roman" w:eastAsia="Times New Roman" w:cs="Times New Roman"/>
          <w:b/>
          <w:bCs/>
        </w:rPr>
        <w:t>"[Soyadı]"</w:t>
      </w:r>
      <w:r>
        <w:rPr>
          <w:rFonts w:ascii="Times New Roman" w:hAnsi="Times New Roman" w:eastAsia="Times New Roman" w:cs="Times New Roman"/>
        </w:rPr>
        <w:t xml:space="preserve"> soyadını kullanmasına </w:t>
      </w:r>
      <w:r>
        <w:rPr>
          <w:rFonts w:ascii="Times New Roman" w:hAnsi="Times New Roman" w:eastAsia="Times New Roman" w:cs="Times New Roman"/>
          <w:b/>
          <w:bCs/>
        </w:rPr>
        <w:t>İZİN VERİLMESİNE</w:t>
      </w:r>
      <w:r>
        <w:rPr>
          <w:rFonts w:ascii="Times New Roman" w:hAnsi="Times New Roman" w:eastAsia="Times New Roman" w:cs="Times New Roman"/>
        </w:rPr>
        <w:t>,</w:t>
      </w:r>
    </w:p>
    <w:p w14:paraId="446607C3">
      <w:pPr>
        <w:pStyle w:val="16"/>
        <w:numPr>
          <w:ilvl w:val="0"/>
          <w:numId w:val="1"/>
        </w:numPr>
        <w:spacing w:after="120" w:line="276" w:lineRule="auto"/>
        <w:jc w:val="both"/>
      </w:pPr>
      <w:r>
        <w:rPr>
          <w:rFonts w:ascii="Times New Roman" w:hAnsi="Times New Roman" w:eastAsia="Times New Roman" w:cs="Times New Roman"/>
        </w:rPr>
        <w:t>Verilen iznin gereği için kesinleşen hükmün ilgili Nüfus Müdürlüğüne bildirilmesine ve nüfus kayıtlarına tesciline,</w:t>
      </w:r>
    </w:p>
    <w:p w14:paraId="636E0392">
      <w:pPr>
        <w:pStyle w:val="16"/>
        <w:numPr>
          <w:ilvl w:val="0"/>
          <w:numId w:val="1"/>
        </w:numPr>
        <w:spacing w:after="120" w:line="276" w:lineRule="auto"/>
        <w:jc w:val="both"/>
      </w:pPr>
      <w:r>
        <w:rPr>
          <w:rFonts w:ascii="Times New Roman" w:hAnsi="Times New Roman" w:eastAsia="Times New Roman" w:cs="Times New Roman"/>
        </w:rPr>
        <w:t>Yargılama giderleri ile vekâlet ücretinin davalı tarafa tahmiline,</w:t>
      </w:r>
    </w:p>
    <w:p w14:paraId="30321E77">
      <w:pPr>
        <w:pStyle w:val="16"/>
        <w:jc w:val="both"/>
      </w:pPr>
      <w:r>
        <w:rPr>
          <w:rFonts w:ascii="Times New Roman" w:hAnsi="Times New Roman" w:eastAsia="Times New Roman" w:cs="Times New Roman"/>
        </w:rPr>
        <w:t>Karar verilmesini saygılarımla vekâleten arz ve talep ederim. [Tarih]</w:t>
      </w:r>
    </w:p>
    <w:p w14:paraId="504B9C1C">
      <w:pPr>
        <w:pStyle w:val="16"/>
        <w:jc w:val="left"/>
      </w:pPr>
      <w:r>
        <w:rPr>
          <w:rFonts w:ascii="Times New Roman" w:hAnsi="Times New Roman" w:eastAsia="Times New Roman" w:cs="Times New Roman"/>
          <w:b/>
          <w:bCs/>
        </w:rPr>
        <w:t>Davacı Vekili</w:t>
      </w:r>
      <w:r>
        <w:rPr>
          <w:rFonts w:ascii="Times New Roman" w:hAnsi="Times New Roman" w:eastAsia="Times New Roman" w:cs="Times New Roman"/>
        </w:rPr>
        <w:br w:type="textWrapping"/>
      </w:r>
      <w:r>
        <w:rPr>
          <w:rFonts w:ascii="Times New Roman" w:hAnsi="Times New Roman" w:eastAsia="Times New Roman" w:cs="Times New Roman"/>
          <w:b/>
          <w:bCs/>
        </w:rPr>
        <w:t>Av. [Ad Soyad]</w:t>
      </w:r>
      <w:r>
        <w:rPr>
          <w:rFonts w:ascii="Times New Roman" w:hAnsi="Times New Roman" w:eastAsia="Times New Roman" w:cs="Times New Roman"/>
        </w:rPr>
        <w:br w:type="textWrapping"/>
      </w:r>
      <w:r>
        <w:rPr>
          <w:rFonts w:ascii="Times New Roman" w:hAnsi="Times New Roman" w:eastAsia="Times New Roman" w:cs="Times New Roman"/>
          <w:i/>
          <w:iCs/>
        </w:rPr>
        <w:t>(İmza)</w:t>
      </w:r>
      <w:bookmarkStart w:id="0" w:name="_GoBack"/>
      <w:bookmarkEnd w:id="0"/>
    </w:p>
    <w:sectPr>
      <w:footerReference r:id="rId3" w:type="default"/>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A49C2">
    <w:pPr>
      <w:pStyle w:val="20"/>
      <w:jc w:val="center"/>
    </w:pPr>
    <w:r>
      <w:fldChar w:fldCharType="begin"/>
    </w:r>
    <w:r>
      <w:instrText xml:space="preserve">PAGE</w:instrText>
    </w:r>
    <w:r>
      <w:fldChar w:fldCharType="separate"/>
    </w:r>
    <w:r>
      <w:t>1</w:t>
    </w:r>
    <w:r>
      <w:fldChar w:fldCharType="end"/>
    </w:r>
    <w:r>
      <w:rPr>
        <w:rFonts w:ascii="Times New Roman" w:hAnsi="Times New Roman" w:eastAsia="Times New Roman" w:cs="Times New Roman"/>
        <w:sz w:val="20"/>
        <w:szCs w:val="20"/>
      </w:rPr>
      <w:t xml:space="preserve"> / </w:t>
    </w:r>
    <w:r>
      <w:fldChar w:fldCharType="begin"/>
    </w:r>
    <w:r>
      <w:instrText xml:space="preserve">NUMPAGES</w:instrText>
    </w:r>
    <w:r>
      <w:fldChar w:fldCharType="separate"/>
    </w:r>
    <w:r>
      <w:t>1</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decimal"/>
      <w:lvlText w:val="%1."/>
      <w:lvlJc w:val="left"/>
      <w:pPr>
        <w:ind w:left="720" w:hanging="360"/>
      </w:pPr>
      <w:rPr>
        <w:rFonts w:ascii="Times New Roman" w:hAnsi="Times New Roman" w:eastAsia="Times New Roman" w:cs="Times New Roman"/>
      </w:rPr>
    </w:lvl>
    <w:lvl w:ilvl="1" w:tentative="0">
      <w:start w:val="1"/>
      <w:numFmt w:val="lowerLetter"/>
      <w:lvlText w:val="%2)"/>
      <w:lvlJc w:val="left"/>
      <w:pPr>
        <w:ind w:left="1440" w:hanging="360"/>
      </w:pPr>
      <w:rPr>
        <w:rFonts w:ascii="Times New Roman" w:hAnsi="Times New Roman" w:eastAsia="Times New Roman" w:cs="Times New Roman"/>
      </w:rPr>
    </w:lvl>
    <w:lvl w:ilvl="2" w:tentative="0">
      <w:start w:val="1"/>
      <w:numFmt w:val="lowerRoman"/>
      <w:lvlText w:val="%3."/>
      <w:lvlJc w:val="left"/>
      <w:pPr>
        <w:ind w:left="2160" w:hanging="360"/>
      </w:pPr>
      <w:rPr>
        <w:rFonts w:ascii="Times New Roman" w:hAnsi="Times New Roman" w:eastAsia="Times New Roman" w:cs="Times New Roman"/>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ompat>
    <w:suppressSpacingAtTopOfPage/>
    <w:suppressSpBfAfterPgBrk/>
    <w:compatSetting w:name="compatibilityMode" w:uri="http://schemas.microsoft.com/office/word" w:val="15"/>
  </w:compat>
  <w:rsids>
    <w:rsidRoot w:val="00000000"/>
    <w:rsid w:val="00F5368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rPr>
  </w:style>
  <w:style w:type="paragraph" w:styleId="2">
    <w:name w:val="heading 1"/>
    <w:next w:val="1"/>
    <w:qFormat/>
    <w:uiPriority w:val="0"/>
    <w:pPr>
      <w:spacing w:before="240" w:after="120" w:line="276" w:lineRule="auto"/>
      <w:jc w:val="left"/>
      <w:outlineLvl w:val="0"/>
    </w:pPr>
    <w:rPr>
      <w:rFonts w:ascii="Times New Roman" w:hAnsi="Times New Roman" w:eastAsia="Times New Roman" w:cs="Times New Roman"/>
      <w:b/>
      <w:bCs/>
      <w:sz w:val="24"/>
      <w:szCs w:val="24"/>
    </w:rPr>
  </w:style>
  <w:style w:type="paragraph" w:styleId="3">
    <w:name w:val="heading 2"/>
    <w:next w:val="1"/>
    <w:qFormat/>
    <w:uiPriority w:val="0"/>
    <w:pPr>
      <w:spacing w:before="220" w:after="110" w:line="276" w:lineRule="auto"/>
      <w:jc w:val="left"/>
      <w:outlineLvl w:val="1"/>
    </w:pPr>
    <w:rPr>
      <w:rFonts w:ascii="Times New Roman" w:hAnsi="Times New Roman" w:eastAsia="Times New Roman" w:cs="Times New Roman"/>
      <w:b/>
      <w:bCs/>
      <w:sz w:val="24"/>
      <w:szCs w:val="24"/>
    </w:rPr>
  </w:style>
  <w:style w:type="paragraph" w:styleId="4">
    <w:name w:val="heading 3"/>
    <w:next w:val="1"/>
    <w:qFormat/>
    <w:uiPriority w:val="0"/>
    <w:pPr>
      <w:spacing w:before="200" w:after="100" w:line="276" w:lineRule="auto"/>
      <w:jc w:val="left"/>
      <w:outlineLvl w:val="2"/>
    </w:pPr>
    <w:rPr>
      <w:rFonts w:ascii="Times New Roman" w:hAnsi="Times New Roman" w:eastAsia="Times New Roman" w:cs="Times New Roman"/>
      <w:b/>
      <w:bCs/>
      <w:sz w:val="24"/>
      <w:szCs w:val="24"/>
    </w:rPr>
  </w:style>
  <w:style w:type="paragraph" w:styleId="5">
    <w:name w:val="heading 4"/>
    <w:next w:val="1"/>
    <w:qFormat/>
    <w:uiPriority w:val="0"/>
    <w:pPr>
      <w:spacing w:before="180" w:after="90" w:line="276" w:lineRule="auto"/>
      <w:jc w:val="left"/>
      <w:outlineLvl w:val="3"/>
    </w:pPr>
    <w:rPr>
      <w:rFonts w:ascii="Times New Roman" w:hAnsi="Times New Roman" w:eastAsia="Times New Roman" w:cs="Times New Roman"/>
      <w:b/>
      <w:bCs/>
      <w:sz w:val="24"/>
      <w:szCs w:val="24"/>
    </w:rPr>
  </w:style>
  <w:style w:type="paragraph" w:styleId="6">
    <w:name w:val="heading 5"/>
    <w:next w:val="1"/>
    <w:qFormat/>
    <w:uiPriority w:val="0"/>
    <w:pPr>
      <w:spacing w:before="160" w:after="80" w:line="276" w:lineRule="auto"/>
      <w:jc w:val="left"/>
      <w:outlineLvl w:val="4"/>
    </w:pPr>
    <w:rPr>
      <w:rFonts w:ascii="Times New Roman" w:hAnsi="Times New Roman" w:eastAsia="Times New Roman" w:cs="Times New Roman"/>
      <w:b/>
      <w:bCs/>
      <w:sz w:val="24"/>
      <w:szCs w:val="24"/>
    </w:rPr>
  </w:style>
  <w:style w:type="paragraph" w:styleId="7">
    <w:name w:val="heading 6"/>
    <w:next w:val="1"/>
    <w:qFormat/>
    <w:uiPriority w:val="0"/>
    <w:pPr>
      <w:spacing w:before="140" w:after="70" w:line="276" w:lineRule="auto"/>
      <w:jc w:val="left"/>
      <w:outlineLvl w:val="5"/>
    </w:pPr>
    <w:rPr>
      <w:rFonts w:ascii="Times New Roman" w:hAnsi="Times New Roman" w:eastAsia="Times New Roman" w:cs="Times New Roman"/>
      <w:b/>
      <w:bCs/>
      <w:sz w:val="24"/>
      <w:szCs w:val="24"/>
    </w:rPr>
  </w:style>
  <w:style w:type="character" w:default="1" w:styleId="8">
    <w:name w:val="Default Paragraph Font"/>
    <w:semiHidden/>
    <w:qFormat/>
    <w:uiPriority w:val="0"/>
  </w:style>
  <w:style w:type="table" w:default="1" w:styleId="9">
    <w:name w:val="Normal Table"/>
    <w:semiHidden/>
    <w:uiPriority w:val="0"/>
    <w:tblPr>
      <w:tblCellMar>
        <w:top w:w="0" w:type="dxa"/>
        <w:left w:w="108" w:type="dxa"/>
        <w:bottom w:w="0" w:type="dxa"/>
        <w:right w:w="108" w:type="dxa"/>
      </w:tblCellMar>
    </w:tblPr>
  </w:style>
  <w:style w:type="character" w:styleId="10">
    <w:name w:val="footnote reference"/>
    <w:semiHidden/>
    <w:unhideWhenUsed/>
    <w:qFormat/>
    <w:uiPriority w:val="99"/>
    <w:rPr>
      <w:vertAlign w:val="superscript"/>
    </w:rPr>
  </w:style>
  <w:style w:type="paragraph" w:styleId="11">
    <w:name w:val="footnote text"/>
    <w:link w:val="15"/>
    <w:semiHidden/>
    <w:unhideWhenUsed/>
    <w:uiPriority w:val="99"/>
    <w:pPr>
      <w:spacing w:after="0" w:line="240" w:lineRule="auto"/>
      <w:jc w:val="both"/>
    </w:pPr>
    <w:rPr>
      <w:rFonts w:ascii="Times New Roman" w:hAnsi="Times New Roman" w:eastAsia="Times New Roman" w:cs="Times New Roman"/>
      <w:sz w:val="20"/>
      <w:szCs w:val="20"/>
    </w:rPr>
  </w:style>
  <w:style w:type="character" w:styleId="12">
    <w:name w:val="Hyperlink"/>
    <w:unhideWhenUsed/>
    <w:uiPriority w:val="99"/>
    <w:rPr>
      <w:color w:val="0563C1"/>
      <w:u w:val="single" w:color="0563C1"/>
    </w:rPr>
  </w:style>
  <w:style w:type="paragraph" w:styleId="13">
    <w:name w:val="Title"/>
    <w:qFormat/>
    <w:uiPriority w:val="0"/>
    <w:pPr>
      <w:spacing w:after="120" w:line="276" w:lineRule="auto"/>
      <w:jc w:val="both"/>
    </w:pPr>
    <w:rPr>
      <w:rFonts w:ascii="Times New Roman" w:hAnsi="Times New Roman" w:eastAsia="Times New Roman" w:cs="Times New Roman"/>
      <w:sz w:val="56"/>
      <w:szCs w:val="56"/>
    </w:rPr>
  </w:style>
  <w:style w:type="paragraph" w:styleId="14">
    <w:name w:val="List Paragraph"/>
    <w:qFormat/>
    <w:uiPriority w:val="0"/>
    <w:pPr>
      <w:spacing w:after="120" w:line="276" w:lineRule="auto"/>
      <w:jc w:val="both"/>
    </w:pPr>
    <w:rPr>
      <w:rFonts w:ascii="Times New Roman" w:hAnsi="Times New Roman" w:eastAsia="Times New Roman" w:cs="Times New Roman"/>
      <w:sz w:val="24"/>
      <w:szCs w:val="24"/>
    </w:rPr>
  </w:style>
  <w:style w:type="character" w:customStyle="1" w:styleId="15">
    <w:name w:val="Footnote Text Char"/>
    <w:link w:val="11"/>
    <w:semiHidden/>
    <w:unhideWhenUsed/>
    <w:qFormat/>
    <w:uiPriority w:val="99"/>
    <w:rPr>
      <w:sz w:val="20"/>
      <w:szCs w:val="20"/>
    </w:rPr>
  </w:style>
  <w:style w:type="paragraph" w:customStyle="1" w:styleId="16">
    <w:name w:val="Default Paragraph"/>
    <w:qFormat/>
    <w:uiPriority w:val="0"/>
    <w:pPr>
      <w:spacing w:after="120" w:line="276" w:lineRule="auto"/>
      <w:jc w:val="both"/>
    </w:pPr>
    <w:rPr>
      <w:rFonts w:ascii="Times New Roman" w:hAnsi="Times New Roman" w:eastAsia="Times New Roman" w:cs="Times New Roman"/>
      <w:sz w:val="24"/>
      <w:szCs w:val="24"/>
    </w:rPr>
  </w:style>
  <w:style w:type="paragraph" w:customStyle="1" w:styleId="17">
    <w:name w:val="Reference Title"/>
    <w:uiPriority w:val="0"/>
    <w:pPr>
      <w:spacing w:before="200" w:after="150" w:line="276" w:lineRule="auto"/>
      <w:jc w:val="left"/>
    </w:pPr>
    <w:rPr>
      <w:rFonts w:ascii="Times New Roman" w:hAnsi="Times New Roman" w:eastAsia="Times New Roman" w:cs="Times New Roman"/>
      <w:b/>
      <w:bCs/>
      <w:sz w:val="24"/>
      <w:szCs w:val="24"/>
    </w:rPr>
  </w:style>
  <w:style w:type="paragraph" w:customStyle="1" w:styleId="18">
    <w:name w:val="Reference Section Title"/>
    <w:qFormat/>
    <w:uiPriority w:val="0"/>
    <w:pPr>
      <w:spacing w:before="150" w:after="100" w:line="276" w:lineRule="auto"/>
      <w:jc w:val="left"/>
    </w:pPr>
    <w:rPr>
      <w:rFonts w:ascii="Times New Roman" w:hAnsi="Times New Roman" w:eastAsia="Times New Roman" w:cs="Times New Roman"/>
      <w:b/>
      <w:bCs/>
      <w:sz w:val="24"/>
      <w:szCs w:val="24"/>
    </w:rPr>
  </w:style>
  <w:style w:type="paragraph" w:customStyle="1" w:styleId="19">
    <w:name w:val="Reference Item"/>
    <w:qFormat/>
    <w:uiPriority w:val="0"/>
    <w:pPr>
      <w:spacing w:after="60" w:line="276" w:lineRule="auto"/>
      <w:jc w:val="both"/>
    </w:pPr>
    <w:rPr>
      <w:rFonts w:ascii="Times New Roman" w:hAnsi="Times New Roman" w:eastAsia="Times New Roman" w:cs="Times New Roman"/>
      <w:sz w:val="24"/>
      <w:szCs w:val="24"/>
    </w:rPr>
  </w:style>
  <w:style w:type="paragraph" w:customStyle="1" w:styleId="20">
    <w:name w:val="Footer Page Number"/>
    <w:qFormat/>
    <w:uiPriority w:val="0"/>
    <w:pPr>
      <w:spacing w:after="120" w:line="276" w:lineRule="auto"/>
      <w:jc w:val="both"/>
    </w:pPr>
    <w:rPr>
      <w:rFonts w:ascii="Times New Roman" w:hAnsi="Times New Roman" w:eastAsia="Times New Roman" w:cs="Times New Roman"/>
      <w:sz w:val="20"/>
      <w:szCs w:val="20"/>
    </w:rPr>
  </w:style>
  <w:style w:type="paragraph" w:customStyle="1" w:styleId="21">
    <w:name w:val="Blockquote"/>
    <w:qFormat/>
    <w:uiPriority w:val="0"/>
    <w:pPr>
      <w:spacing w:before="100" w:after="100" w:line="276" w:lineRule="auto"/>
      <w:ind w:left="720" w:right="720"/>
      <w:jc w:val="both"/>
    </w:pPr>
    <w:rPr>
      <w:rFonts w:ascii="Times New Roman" w:hAnsi="Times New Roman" w:eastAsia="Times New Roman" w:cs="Times New Roman"/>
      <w:i/>
      <w:iCs/>
      <w:color w:val="595959"/>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1170</Words>
  <Characters>7848</Characters>
  <TotalTime>0</TotalTime>
  <ScaleCrop>false</ScaleCrop>
  <LinksUpToDate>false</LinksUpToDate>
  <CharactersWithSpaces>8960</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2026-10-01T07:38:00Z</dcterms:created>
  <dc:creator>Un-named</dc:creator>
  <cp:lastModifiedBy>SEYFI</cp:lastModifiedBy>
  <dcterms:modified xsi:type="dcterms:W3CDTF">2026-10-01T07:39:10Z</dcterms:modified>
  <dc:title>Dilekçe Raporu</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eyJoZGlkIjoiYTg1NzUyODEwZDZkMGVmZjJlMzJiYzljMGNiYjk5MTgifQ==</vt:lpwstr>
  </property>
  <property fmtid="{D5CDD505-2E9C-101B-9397-08002B2CF9AE}" pid="3" name="KSOProductBuildVer">
    <vt:lpwstr>1055-12.1.0.28485</vt:lpwstr>
  </property>
  <property fmtid="{D5CDD505-2E9C-101B-9397-08002B2CF9AE}" pid="4" name="ICV">
    <vt:lpwstr>86850DDF62F442428125E32CB0E8F0E2_12</vt:lpwstr>
  </property>
</Properties>
</file>