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defaultParagraphStyle"/>
        <w:jc w:val="both"/>
      </w:pPr>
      <w:r>
        <w:rPr>
          <w:rFonts w:ascii="Times New Roman" w:cs="Times New Roman" w:eastAsia="Times New Roman" w:hAnsi="Times New Roman"/>
        </w:rPr>
        <w:t xml:space="preserve">İSTANBUL NÖBETÇİ ASLİYE TİCARET MAHKEMESİNE</w:t>
      </w:r>
    </w:p>
    <w:p>
      <w:pPr>
        <w:pStyle w:val="defaultParagraphStyle"/>
        <w:jc w:val="left"/>
      </w:pPr>
      <w:r>
        <w:rPr>
          <w:rFonts w:ascii="Times New Roman" w:cs="Times New Roman" w:eastAsia="Times New Roman" w:hAnsi="Times New Roman"/>
          <w:b/>
          <w:bCs/>
        </w:rPr>
        <w:t xml:space="preserve">DAVACI:</w:t>
      </w:r>
      <w:r>
        <w:rPr>
          <w:rFonts w:ascii="Times New Roman" w:cs="Times New Roman" w:eastAsia="Times New Roman" w:hAnsi="Times New Roman"/>
        </w:rPr>
        <w:t xml:space="preserve"> [Davacı Şirket / Ad Soyad - Ticaret Unvanı], [T.C. / Vergi Kimlik No]</w:t>
      </w:r>
      <w:r>
        <w:rPr>
          <w:rFonts w:ascii="Times New Roman" w:cs="Times New Roman" w:eastAsia="Times New Roman" w:hAnsi="Times New Roman"/>
        </w:rPr>
        <w:br/>
      </w:r>
      <w:r>
        <w:rPr>
          <w:rFonts w:ascii="Times New Roman" w:cs="Times New Roman" w:eastAsia="Times New Roman" w:hAnsi="Times New Roman"/>
        </w:rPr>
        <w:t xml:space="preserve">[Adres]</w:t>
      </w:r>
    </w:p>
    <w:p>
      <w:pPr>
        <w:pStyle w:val="defaultParagraphStyle"/>
        <w:jc w:val="left"/>
      </w:pPr>
      <w:r>
        <w:rPr>
          <w:rFonts w:ascii="Times New Roman" w:cs="Times New Roman" w:eastAsia="Times New Roman" w:hAnsi="Times New Roman"/>
          <w:b/>
          <w:bCs/>
        </w:rPr>
        <w:t xml:space="preserve">VEKİLİ:</w:t>
      </w:r>
      <w:r>
        <w:rPr>
          <w:rFonts w:ascii="Times New Roman" w:cs="Times New Roman" w:eastAsia="Times New Roman" w:hAnsi="Times New Roman"/>
        </w:rPr>
        <w:t xml:space="preserve"> Av. [Ad Soyad], [Baro Sicil No]</w:t>
      </w:r>
      <w:r>
        <w:rPr>
          <w:rFonts w:ascii="Times New Roman" w:cs="Times New Roman" w:eastAsia="Times New Roman" w:hAnsi="Times New Roman"/>
        </w:rPr>
        <w:br/>
      </w:r>
      <w:r>
        <w:rPr>
          <w:rFonts w:ascii="Times New Roman" w:cs="Times New Roman" w:eastAsia="Times New Roman" w:hAnsi="Times New Roman"/>
        </w:rPr>
        <w:t xml:space="preserve">[Adres - UETS Adresi]</w:t>
      </w:r>
    </w:p>
    <w:p>
      <w:pPr>
        <w:pStyle w:val="defaultParagraphStyle"/>
        <w:jc w:val="left"/>
      </w:pPr>
      <w:r>
        <w:rPr>
          <w:rFonts w:ascii="Times New Roman" w:cs="Times New Roman" w:eastAsia="Times New Roman" w:hAnsi="Times New Roman"/>
          <w:b/>
          <w:bCs/>
        </w:rPr>
        <w:t xml:space="preserve">DAVALI:</w:t>
      </w:r>
      <w:r>
        <w:rPr>
          <w:rFonts w:ascii="Times New Roman" w:cs="Times New Roman" w:eastAsia="Times New Roman" w:hAnsi="Times New Roman"/>
        </w:rPr>
        <w:t xml:space="preserve"> [Davalı Şirket / Borçlu Ad Soyad], [T.C. / Vergi Kimlik No]</w:t>
      </w:r>
      <w:r>
        <w:rPr>
          <w:rFonts w:ascii="Times New Roman" w:cs="Times New Roman" w:eastAsia="Times New Roman" w:hAnsi="Times New Roman"/>
        </w:rPr>
        <w:br/>
      </w:r>
      <w:r>
        <w:rPr>
          <w:rFonts w:ascii="Times New Roman" w:cs="Times New Roman" w:eastAsia="Times New Roman" w:hAnsi="Times New Roman"/>
        </w:rPr>
        <w:t xml:space="preserve">[Adres]</w:t>
      </w:r>
    </w:p>
    <w:p>
      <w:pPr>
        <w:pStyle w:val="defaultParagraphStyle"/>
        <w:jc w:val="both"/>
      </w:pPr>
      <w:r>
        <w:rPr>
          <w:rFonts w:ascii="Times New Roman" w:cs="Times New Roman" w:eastAsia="Times New Roman" w:hAnsi="Times New Roman"/>
          <w:b/>
          <w:bCs/>
        </w:rPr>
        <w:t xml:space="preserve">DAVA DEĞERİ:</w:t>
      </w:r>
      <w:r>
        <w:rPr>
          <w:rFonts w:ascii="Times New Roman" w:cs="Times New Roman" w:eastAsia="Times New Roman" w:hAnsi="Times New Roman"/>
        </w:rPr>
        <w:t xml:space="preserve"> [Alacak Tutarı, Örn: 150.000,00] TL (Harca Esas Değer)</w:t>
      </w:r>
    </w:p>
    <w:p>
      <w:pPr>
        <w:pStyle w:val="defaultParagraphStyle"/>
        <w:jc w:val="both"/>
      </w:pPr>
      <w:r>
        <w:rPr>
          <w:rFonts w:ascii="Times New Roman" w:cs="Times New Roman" w:eastAsia="Times New Roman" w:hAnsi="Times New Roman"/>
          <w:b/>
          <w:bCs/>
        </w:rPr>
        <w:t xml:space="preserve">İCRA DOSYASI:</w:t>
      </w:r>
      <w:r>
        <w:rPr>
          <w:rFonts w:ascii="Times New Roman" w:cs="Times New Roman" w:eastAsia="Times New Roman" w:hAnsi="Times New Roman"/>
        </w:rPr>
        <w:t xml:space="preserve"> İstanbul [ ]. İcra Dairesi'nin [Yıl]/[Esas No] E. sayılı dosyası</w:t>
      </w:r>
    </w:p>
    <w:p>
      <w:pPr>
        <w:pStyle w:val="defaultParagraphStyle"/>
        <w:jc w:val="both"/>
      </w:pPr>
      <w:r>
        <w:rPr>
          <w:rFonts w:ascii="Times New Roman" w:cs="Times New Roman" w:eastAsia="Times New Roman" w:hAnsi="Times New Roman"/>
          <w:b/>
          <w:bCs/>
        </w:rPr>
        <w:t xml:space="preserve">ARABULUCULUK DOSYASI:</w:t>
      </w:r>
      <w:r>
        <w:rPr>
          <w:rFonts w:ascii="Times New Roman" w:cs="Times New Roman" w:eastAsia="Times New Roman" w:hAnsi="Times New Roman"/>
        </w:rPr>
        <w:t xml:space="preserve"> İstanbul Arabuluculuk Bürosu [Yıl]/[Başvuru No] Büro, [Yıl]/[Dosya No] Dosya No (Son Tutanak Tarihi: [Tarih])</w:t>
      </w:r>
    </w:p>
    <w:p>
      <w:pPr>
        <w:pStyle w:val="defaultParagraphStyle"/>
        <w:jc w:val="both"/>
      </w:pPr>
      <w:r>
        <w:rPr>
          <w:rFonts w:ascii="Times New Roman" w:cs="Times New Roman" w:eastAsia="Times New Roman" w:hAnsi="Times New Roman"/>
          <w:b/>
          <w:bCs/>
        </w:rPr>
        <w:t xml:space="preserve">KONU:</w:t>
      </w:r>
      <w:r>
        <w:rPr>
          <w:rFonts w:ascii="Times New Roman" w:cs="Times New Roman" w:eastAsia="Times New Roman" w:hAnsi="Times New Roman"/>
        </w:rPr>
        <w:t xml:space="preserve"> Davalı borçlunun İstanbul [ ]. İcra Dairesi'nin [Yıl]/[Esas No] E. sayılı takip dosyasına haksız ve kötü niyetli olarak vaki vaki itirazının İİK m. 67 uyarınca İPTALİ ile takibin asıl alacak, işlemiş faiz ve ferileri üzerinden AYNI KOŞULLARLA DEVAMINA; borçlunun likit alacağa haksız itirazı sebebiyle takip konusu asıl alacağın %20’sinden aşağı olmamak üzere İCRA İNKÂR TAZMİNATINA mahkûm edilmesine karar verilmesi talebidir.</w:t>
      </w:r>
    </w:p>
    <w:p>
      <w:pPr>
        <w:pStyle w:val="defaultParagraphStyle"/>
        <w:pBdr>
          <w:bottom w:val="single" w:color="auto" w:sz="6" w:space="1"/>
        </w:pBdr>
      </w:pPr>
    </w:p>
    <w:p>
      <w:pPr>
        <w:pStyle w:val="heading3Style"/>
      </w:pPr>
      <w:r>
        <w:rPr>
          <w:rFonts w:ascii="Times New Roman" w:cs="Times New Roman" w:eastAsia="Times New Roman" w:hAnsi="Times New Roman"/>
        </w:rPr>
        <w:t xml:space="preserve">AÇIKLAMALAR</w:t>
      </w:r>
    </w:p>
    <w:p>
      <w:pPr>
        <w:pStyle w:val="heading4Style"/>
      </w:pPr>
      <w:r>
        <w:rPr>
          <w:rFonts w:ascii="Times New Roman" w:cs="Times New Roman" w:eastAsia="Times New Roman" w:hAnsi="Times New Roman"/>
        </w:rPr>
        <w:t xml:space="preserve">I. DAVA ŞARTI ARABULUCULUK SÜRECİ</w:t>
      </w:r>
    </w:p>
    <w:p>
      <w:pPr>
        <w:pStyle w:val="defaultParagraphStyle"/>
        <w:jc w:val="both"/>
      </w:pPr>
      <w:r>
        <w:rPr>
          <w:rFonts w:ascii="Times New Roman" w:cs="Times New Roman" w:eastAsia="Times New Roman" w:hAnsi="Times New Roman"/>
        </w:rPr>
        <w:t xml:space="preserve">6102 sayılı Türk Ticaret Kanunu’nun 5/A maddesi ve 6325 sayılı Hukuk Uyuşmazlıklarında Arabuluculuk Kanunu hükümleri uyarınca, taraflar arasındaki ticari uyuşmazlığın çözümü amacıyla dava açılmadan önce zorunlu arabuluculuk yoluna başvurulmuştur. İstanbul Arabuluculuk Bürosu’nun [Yıl]/[Başvuru No] başvuru numaralı dosyası kapsamında yürütülen müzakereler neticesinde taraflar arasında anlaşma sağlanamamış ve ekte sunulan [Tarih] tarihli "Hukuk Uyuşmazlıklarında Dava Şartı Arabuluculuk Son Tutanağı" tanzim edilmiştir. Yasal dava şartı eksiksiz olarak yerine getirilmiştir.</w:t>
      </w:r>
    </w:p>
    <w:p>
      <w:pPr>
        <w:pStyle w:val="heading4Style"/>
      </w:pPr>
      <w:r>
        <w:rPr>
          <w:rFonts w:ascii="Times New Roman" w:cs="Times New Roman" w:eastAsia="Times New Roman" w:hAnsi="Times New Roman"/>
        </w:rPr>
        <w:t xml:space="preserve">II. MADDİ VAKIALAR VE TAKİP SÜRECİ</w:t>
      </w:r>
    </w:p>
    <w:p>
      <w:pPr>
        <w:pStyle w:val="defaultParagraphStyle"/>
        <w:numPr>
          <w:ilvl w:val="0"/>
          <w:numId w:val="2"/>
        </w:numPr>
        <w:spacing w:line="276" w:after="120" w:lineRule="auto"/>
        <w:jc w:val="both"/>
      </w:pPr>
      <w:r>
        <w:rPr>
          <w:rFonts w:ascii="Times New Roman" w:cs="Times New Roman" w:eastAsia="Times New Roman" w:hAnsi="Times New Roman"/>
        </w:rPr>
        <w:t xml:space="preserve">Müvekkil davacı ile davalı borçlu arasında süregelen ticari ilişki kapsamında, davalı tarafın sipariş ettiği mal/hizmetler eksiksiz, ayıpsız ve tam olarak teslim edilmiş; buna istinaden tanzim edilen faturalar davalıya tebliğ edilerek cari hesap kaydına işlenmiştir.</w:t>
      </w:r>
    </w:p>
    <w:p>
      <w:pPr>
        <w:pStyle w:val="defaultParagraphStyle"/>
        <w:numPr>
          <w:ilvl w:val="0"/>
          <w:numId w:val="2"/>
        </w:numPr>
        <w:spacing w:line="276" w:after="120" w:lineRule="auto"/>
        <w:jc w:val="both"/>
      </w:pPr>
      <w:r>
        <w:rPr>
          <w:rFonts w:ascii="Times New Roman" w:cs="Times New Roman" w:eastAsia="Times New Roman" w:hAnsi="Times New Roman"/>
        </w:rPr>
        <w:t xml:space="preserve">Davalı tarafça teslim alınan mallara/hizmetlere ve bahse konu faturalara yasal süresi içinde herhangi bir itiraz vuku bulmamıştır. 6102 sayılı Türk Ticaret Kanunu’nun 21/2. maddesi gereğince faturaya süresinde itiraz edilmemesi kesin bir kabul sonucunu doğurmaktadır. Emsal Bakırköy 8. Asliye Ticaret Mahkemesi'nin 13.03.2025 tarihli, E. 2024/159 ve K. 2025/240 sayılı kararında da vurgulandığı üzere:</w:t>
      </w:r>
    </w:p>
    <w:p>
      <w:pPr>
        <w:pStyle w:val="blockquoteStyle"/>
        <w:jc w:val="both"/>
      </w:pPr>
      <w:r>
        <w:rPr>
          <w:rFonts w:ascii="Times New Roman" w:cs="Times New Roman" w:eastAsia="Times New Roman" w:hAnsi="Times New Roman"/>
          <w:i/>
          <w:iCs/>
          <w:color w:val="595959"/>
        </w:rPr>
        <w:t xml:space="preserve">"TTK'nın 21/2.maddesine göre, bir faturayı alan kişi aldığı tarihten itibaren sekiz gün içinde fatura içeriği hakkında itirazda bulunmamışsa bu içeriği kabul etmiş sayılır."</w:t>
      </w:r>
    </w:p>
    <w:p>
      <w:pPr>
        <w:pStyle w:val="defaultParagraphStyle"/>
        <w:numPr>
          <w:ilvl w:val="0"/>
          <w:numId w:val="2"/>
        </w:numPr>
        <w:spacing w:line="276" w:after="120" w:lineRule="auto"/>
        <w:jc w:val="both"/>
      </w:pPr>
      <w:r>
        <w:rPr>
          <w:rFonts w:ascii="Times New Roman" w:cs="Times New Roman" w:eastAsia="Times New Roman" w:hAnsi="Times New Roman"/>
        </w:rPr>
        <w:t xml:space="preserve">Davalı, teslim aldığı mal ve hizmet bedellerini içerir faturalara dayalı cari hesap borcunu vadesinde ödememiş, müvekkilin tüm şifahi ve yazılı ihtarlarına rağmen borç ifa edilmemiştir. Bunun üzerine müvekkil alacağını tahsil edebilmek amacıyla İstanbul [ ]. İcra Dairesi'nin [Yıl]/[Esas No] E. sayılı dosyası üzerinden davalı aleyhine ilamsız icra takibi başlatmıştır.</w:t>
      </w:r>
    </w:p>
    <w:p>
      <w:pPr>
        <w:pStyle w:val="defaultParagraphStyle"/>
        <w:numPr>
          <w:ilvl w:val="0"/>
          <w:numId w:val="2"/>
        </w:numPr>
        <w:spacing w:line="276" w:after="120" w:lineRule="auto"/>
        <w:jc w:val="both"/>
      </w:pPr>
      <w:r>
        <w:rPr>
          <w:rFonts w:ascii="Times New Roman" w:cs="Times New Roman" w:eastAsia="Times New Roman" w:hAnsi="Times New Roman"/>
        </w:rPr>
        <w:t xml:space="preserve">Ödeme emri davalı borçluya [Tebliğ Tarihi] tarihinde tebliğ edilmiş; davalı borçlu yasal süresi içinde sunduğu dilekçe ile takibe, borca, faize ve tüm ferilere itiraz ederek takibin durmasına sebebiyet vermiştir. Davalı tarafın borca itirazı [İtiraz Tebliğ Tarihi] tarihinde tarafımıza tebliğ edilmiş olup, 2004 sayılı İcra ve İflas Kanunu’nun (İİK) 67/1. maddesinde öngörülen bir yıllık hak düşürücü yasal süre içinde işbu dava ikame edilmiştir.</w:t>
      </w:r>
    </w:p>
    <w:p>
      <w:pPr>
        <w:pStyle w:val="heading4Style"/>
      </w:pPr>
      <w:r>
        <w:rPr>
          <w:rFonts w:ascii="Times New Roman" w:cs="Times New Roman" w:eastAsia="Times New Roman" w:hAnsi="Times New Roman"/>
        </w:rPr>
        <w:t xml:space="preserve">III. HUKUKİ TESPİT VE GEREKÇELERİMİZ</w:t>
      </w:r>
    </w:p>
    <w:p>
      <w:pPr>
        <w:pStyle w:val="heading5Style"/>
      </w:pPr>
      <w:r>
        <w:rPr>
          <w:rFonts w:ascii="Times New Roman" w:cs="Times New Roman" w:eastAsia="Times New Roman" w:hAnsi="Times New Roman"/>
        </w:rPr>
        <w:t xml:space="preserve">1. Davanın Yasal Dayanağı ve Niteliği</w:t>
      </w:r>
    </w:p>
    <w:p>
      <w:pPr>
        <w:pStyle w:val="defaultParagraphStyle"/>
        <w:jc w:val="both"/>
      </w:pPr>
      <w:r>
        <w:rPr>
          <w:rFonts w:ascii="Times New Roman" w:cs="Times New Roman" w:eastAsia="Times New Roman" w:hAnsi="Times New Roman"/>
        </w:rPr>
        <w:t xml:space="preserve">İtirazın iptali davası, alacaklının genel hükümler dairesinde haklılığını ispatlayarak duran icra takibini yeniden canlandırmasını sağlayan bir takip hukuku mekanizmasıdır. Nitekim İstanbul 11. Asliye Ticaret Mahkemesi'nin 10.02.2021 tarihli, E. 2017/1106 ve K. 2021/90 sayılı kararında bu husus şu şekilde açıkça ifade edilmiştir:</w:t>
      </w:r>
    </w:p>
    <w:p>
      <w:pPr>
        <w:pStyle w:val="blockquoteStyle"/>
        <w:jc w:val="both"/>
      </w:pPr>
      <w:r>
        <w:rPr>
          <w:rFonts w:ascii="Times New Roman" w:cs="Times New Roman" w:eastAsia="Times New Roman" w:hAnsi="Times New Roman"/>
          <w:i/>
          <w:iCs/>
          <w:color w:val="595959"/>
        </w:rPr>
        <w:t xml:space="preserve">"Yasal dayanağını 2004 sayılı İcra ve İflas Kanunu’nun (İİK.) 67. maddesinden alan itirazın iptali davası ile alacaklı; icra takibine karşı borçlunun yaptığı itirazın iptali ile İİK.’nun 66. maddesine göre itiraz üzerine duran takibin devamını sağlamayı amaçlamaktadır."</w:t>
      </w:r>
    </w:p>
    <w:p>
      <w:pPr>
        <w:pStyle w:val="defaultParagraphStyle"/>
        <w:jc w:val="both"/>
      </w:pPr>
      <w:r>
        <w:rPr>
          <w:rFonts w:ascii="Times New Roman" w:cs="Times New Roman" w:eastAsia="Times New Roman" w:hAnsi="Times New Roman"/>
        </w:rPr>
        <w:t xml:space="preserve">Aynı doğrultuda İstanbul Anadolu 10. Asliye Ticaret Mahkemesi'nin 24.06.2021 tarihli, E. 2019/533 ve K. 2021/524 sayılı kararında da belirtildiği üzere:</w:t>
      </w:r>
    </w:p>
    <w:p>
      <w:pPr>
        <w:pStyle w:val="blockquoteStyle"/>
        <w:jc w:val="both"/>
      </w:pPr>
      <w:r>
        <w:rPr>
          <w:rFonts w:ascii="Times New Roman" w:cs="Times New Roman" w:eastAsia="Times New Roman" w:hAnsi="Times New Roman"/>
          <w:i/>
          <w:iCs/>
          <w:color w:val="595959"/>
        </w:rPr>
        <w:t xml:space="preserve">"Takip talebine itiraz edilen alacaklı, itirazın tebliği tarihinden itibaren bir sene içinde mahkemeye başvurarak, genel hükümler dairesinde alacağının varlığını ispat suretiyle itirazın iptalini dava edebilir."</w:t>
      </w:r>
    </w:p>
    <w:p>
      <w:pPr>
        <w:pStyle w:val="heading5Style"/>
      </w:pPr>
      <w:r>
        <w:rPr>
          <w:rFonts w:ascii="Times New Roman" w:cs="Times New Roman" w:eastAsia="Times New Roman" w:hAnsi="Times New Roman"/>
        </w:rPr>
        <w:t xml:space="preserve">2. Delillerin Değerlendirilmesi, Ticari Defterler ve İspat Yükü</w:t>
      </w:r>
    </w:p>
    <w:p>
      <w:pPr>
        <w:pStyle w:val="defaultParagraphStyle"/>
        <w:jc w:val="both"/>
      </w:pPr>
      <w:r>
        <w:rPr>
          <w:rFonts w:ascii="Times New Roman" w:cs="Times New Roman" w:eastAsia="Times New Roman" w:hAnsi="Times New Roman"/>
        </w:rPr>
        <w:t xml:space="preserve">Alacaklının alacağını ispat yükü kapsamında; müvekkil şirketin ticari defter ve muhasebe kayıtları Türk Ticaret Kanunu ve Vergi Usul Kanunu hükümlerine tam uygunluk arz etmekte olup kanuni açılış ve kapanış tasdikleri eksiksizdir. Müvekkil şirketin faturaları, cari hesap ekstreleri, sevk irsaliyeleri ve vergi dairesine bildirilen BA/BS formları davalı şirketin borçlu olduğunu açıkça teyit etmektedir.</w:t>
      </w:r>
    </w:p>
    <w:p>
      <w:pPr>
        <w:pStyle w:val="defaultParagraphStyle"/>
        <w:jc w:val="both"/>
      </w:pPr>
      <w:r>
        <w:rPr>
          <w:rFonts w:ascii="Times New Roman" w:cs="Times New Roman" w:eastAsia="Times New Roman" w:hAnsi="Times New Roman"/>
        </w:rPr>
        <w:t xml:space="preserve">6100 sayılı Hukuk Muhakemeleri Kanunu’nun 222. maddesi kapsamında usulüne uygun tutulan ticari defterler sahibi lehine delil teşkil eder. Bu hususta İstanbul Anadolu 4. Asliye Ticaret Mahkemesi'nin 21.01.2026 tarihli, E. 2024/496 ve K. 2026/68 sayılı kararında kural şu şekilde ortaya konulmuştur:</w:t>
      </w:r>
    </w:p>
    <w:p>
      <w:pPr>
        <w:pStyle w:val="blockquoteStyle"/>
        <w:jc w:val="both"/>
      </w:pPr>
      <w:r>
        <w:rPr>
          <w:rFonts w:ascii="Times New Roman" w:cs="Times New Roman" w:eastAsia="Times New Roman" w:hAnsi="Times New Roman"/>
          <w:i/>
          <w:iCs/>
          <w:color w:val="595959"/>
        </w:rPr>
        <w:t xml:space="preserve">"Ticari defterlerin, ticari davalarda delil olarak kabul edilebilmesi için, kanuna göre eksiksiz ve usulüne uygun olarak tutulmuş, açılış ve kapanış onayları yaptırılmış ve defter kayıtlarının birbirini doğrulamış olması şarttır."</w:t>
      </w:r>
    </w:p>
    <w:p>
      <w:pPr>
        <w:pStyle w:val="defaultParagraphStyle"/>
        <w:jc w:val="both"/>
      </w:pPr>
      <w:r>
        <w:rPr>
          <w:rFonts w:ascii="Times New Roman" w:cs="Times New Roman" w:eastAsia="Times New Roman" w:hAnsi="Times New Roman"/>
        </w:rPr>
        <w:t xml:space="preserve">İstanbul Bölge Adliye Mahkemesi 13. Hukuk Dairesi'nin 24.06.2021 tarihli, E. 2019/1644 ve K. 2021/964 sayılı emsal ilamında ise:</w:t>
      </w:r>
    </w:p>
    <w:p>
      <w:pPr>
        <w:pStyle w:val="blockquoteStyle"/>
        <w:jc w:val="left"/>
      </w:pPr>
      <w:r>
        <w:rPr>
          <w:rFonts w:ascii="Times New Roman" w:cs="Times New Roman" w:eastAsia="Times New Roman" w:hAnsi="Times New Roman"/>
          <w:i/>
          <w:iCs/>
          <w:color w:val="595959"/>
        </w:rPr>
        <w:t xml:space="preserve">"ibraz edilen davacı ticari defterlerin kanuna göre eksiksiz ve usulüne uygun olarak tutulmuş olduğu, açılış ve kapanış tasdiklerinin yaptırıldığı ve defter kayıtlarının birbirini doğruladığı, ibraz edilen ticari defterlerin delil vasfını haiz olduğu"</w:t>
      </w:r>
      <w:r>
        <w:rPr>
          <w:rFonts w:ascii="Times New Roman" w:cs="Times New Roman" w:eastAsia="Times New Roman" w:hAnsi="Times New Roman"/>
          <w:i/>
          <w:iCs/>
          <w:color w:val="595959"/>
        </w:rPr>
        <w:t xml:space="preserve"> gerekçesiyle delil vasfı teyit edilmiş ve devamla;</w:t>
      </w:r>
      <w:r>
        <w:rPr>
          <w:rFonts w:ascii="Times New Roman" w:cs="Times New Roman" w:eastAsia="Times New Roman" w:hAnsi="Times New Roman"/>
        </w:rPr>
        <w:br/>
      </w:r>
      <w:r>
        <w:rPr>
          <w:rFonts w:ascii="Times New Roman" w:cs="Times New Roman" w:eastAsia="Times New Roman" w:hAnsi="Times New Roman"/>
          <w:i/>
          <w:iCs/>
          <w:color w:val="595959"/>
        </w:rPr>
        <w:t xml:space="preserve">"bu noktadan sonra faturaya dayalı cari hesap bakiyesinin ödendiğinin ispat yükünün davalı üzerinde bulunduğu"</w:t>
      </w:r>
      <w:r>
        <w:rPr>
          <w:rFonts w:ascii="Times New Roman" w:cs="Times New Roman" w:eastAsia="Times New Roman" w:hAnsi="Times New Roman"/>
          <w:i/>
          <w:iCs/>
          <w:color w:val="595959"/>
        </w:rPr>
        <w:t xml:space="preserve"> hükme bağlanmıştır.</w:t>
      </w:r>
    </w:p>
    <w:p>
      <w:pPr>
        <w:pStyle w:val="defaultParagraphStyle"/>
        <w:jc w:val="both"/>
      </w:pPr>
      <w:r>
        <w:rPr>
          <w:rFonts w:ascii="Times New Roman" w:cs="Times New Roman" w:eastAsia="Times New Roman" w:hAnsi="Times New Roman"/>
        </w:rPr>
        <w:t xml:space="preserve">Müvekkil şirket mal ve hizmeti teslim etmiş, faturayı tanzim ederek defterlerine usulünce kaydetmiştir. Davalı taraf borcu itfa ettiğine dair hiçbir yazılı delil sunamaz. Davalının ticari defterlerini ibrazdan kaçınması veya sunmaması durumunda da müvekkilin delilleri uyuşmazlığı ispata kafidir. Nitekim İstanbul Anadolu 3. Asliye Ticaret Mahkemesi'nin 29.05.2025 tarihli, E. 2024/451 ve K. 2025/446 sayılı kararında:</w:t>
      </w:r>
    </w:p>
    <w:p>
      <w:pPr>
        <w:pStyle w:val="blockquoteStyle"/>
        <w:jc w:val="both"/>
      </w:pPr>
      <w:r>
        <w:rPr>
          <w:rFonts w:ascii="Times New Roman" w:cs="Times New Roman" w:eastAsia="Times New Roman" w:hAnsi="Times New Roman"/>
          <w:i/>
          <w:iCs/>
          <w:color w:val="595959"/>
        </w:rPr>
        <w:t xml:space="preserve">"diğer tarafın ticari defterlerini ibraz etmemesi halinde usulüne uygun tutulmuş ticari defterlerin sahibi lehine delil olarak kabul edileceği"</w:t>
      </w:r>
      <w:r>
        <w:rPr>
          <w:rFonts w:ascii="Times New Roman" w:cs="Times New Roman" w:eastAsia="Times New Roman" w:hAnsi="Times New Roman"/>
          <w:i/>
          <w:iCs/>
          <w:color w:val="595959"/>
        </w:rPr>
        <w:t xml:space="preserve"> açıkça belirtilmiştir.</w:t>
      </w:r>
    </w:p>
    <w:p>
      <w:pPr>
        <w:pStyle w:val="heading5Style"/>
      </w:pPr>
      <w:r>
        <w:rPr>
          <w:rFonts w:ascii="Times New Roman" w:cs="Times New Roman" w:eastAsia="Times New Roman" w:hAnsi="Times New Roman"/>
        </w:rPr>
        <w:t xml:space="preserve">3. Alacağın Likit Olması ve İcra İnkâr Tazminatı Talebimiz</w:t>
      </w:r>
    </w:p>
    <w:p>
      <w:pPr>
        <w:pStyle w:val="defaultParagraphStyle"/>
        <w:jc w:val="both"/>
      </w:pPr>
      <w:r>
        <w:rPr>
          <w:rFonts w:ascii="Times New Roman" w:cs="Times New Roman" w:eastAsia="Times New Roman" w:hAnsi="Times New Roman"/>
        </w:rPr>
        <w:t xml:space="preserve">İİK m. 67/2 uyarınca, itirazın haksızlığına karar verilirse borçlu; takibinde haksız ve kötü niyetli bulunması halinde, alacaklının talebi üzerine hükmolunan meblağın yüzde yirmisinden aşağı olmamak üzere icra inkâr tazminatına mahkûm edilir. Davaya konu alacak, taraflar arasındaki ticari ilişkiye, sözleşme, fatura ve cari hesap kayıtlarına dayanmakta olup tutarı baştan itibaren bellidir, sabittir ve dolayısıyla "likit" niteliktedir.</w:t>
      </w:r>
    </w:p>
    <w:p>
      <w:pPr>
        <w:pStyle w:val="defaultParagraphStyle"/>
        <w:jc w:val="both"/>
      </w:pPr>
      <w:r>
        <w:rPr>
          <w:rFonts w:ascii="Times New Roman" w:cs="Times New Roman" w:eastAsia="Times New Roman" w:hAnsi="Times New Roman"/>
        </w:rPr>
        <w:t xml:space="preserve">Antalya 4. Asliye Ticaret Mahkemesi'nin 05.03.2026 tarihli, E. 2025/199 ve K. 2026/226 sayılı kararında ifade edildiği üzere:</w:t>
      </w:r>
    </w:p>
    <w:p>
      <w:pPr>
        <w:pStyle w:val="blockquoteStyle"/>
        <w:jc w:val="both"/>
      </w:pPr>
      <w:r>
        <w:rPr>
          <w:rFonts w:ascii="Times New Roman" w:cs="Times New Roman" w:eastAsia="Times New Roman" w:hAnsi="Times New Roman"/>
          <w:i/>
          <w:iCs/>
          <w:color w:val="595959"/>
        </w:rPr>
        <w:t xml:space="preserve">"Alacaklı lehine tazminata hükmetmek için; talebin bulunması, itirazın haksız, alacağın ise likit olması gerekir."</w:t>
      </w:r>
    </w:p>
    <w:p>
      <w:pPr>
        <w:pStyle w:val="defaultParagraphStyle"/>
        <w:jc w:val="both"/>
      </w:pPr>
      <w:r>
        <w:rPr>
          <w:rFonts w:ascii="Times New Roman" w:cs="Times New Roman" w:eastAsia="Times New Roman" w:hAnsi="Times New Roman"/>
        </w:rPr>
        <w:t xml:space="preserve">Likit alacak tanımına ilişkin olarak Bakırköy 8. Asliye Ticaret Mahkemesi'nin 13.03.2025 tarihli, E. 2024/159 ve K. 2025/240 sayılı kararında:</w:t>
      </w:r>
    </w:p>
    <w:p>
      <w:pPr>
        <w:pStyle w:val="blockquoteStyle"/>
        <w:jc w:val="both"/>
      </w:pPr>
      <w:r>
        <w:rPr>
          <w:rFonts w:ascii="Times New Roman" w:cs="Times New Roman" w:eastAsia="Times New Roman" w:hAnsi="Times New Roman"/>
          <w:i/>
          <w:iCs/>
          <w:color w:val="595959"/>
        </w:rPr>
        <w:t xml:space="preserve">"Buna göre, likit bir alacaklıdan söz edilebilmesi için ya alacağın gerçek miktarının belli ve sabit olması yada borçlu tarafından belirlenebilmesi için bütün unsurlarının bilinmesi ya da bilinmesinin gerekmesi gerekir."</w:t>
      </w:r>
      <w:r>
        <w:rPr>
          <w:rFonts w:ascii="Times New Roman" w:cs="Times New Roman" w:eastAsia="Times New Roman" w:hAnsi="Times New Roman"/>
          <w:i/>
          <w:iCs/>
          <w:color w:val="595959"/>
        </w:rPr>
        <w:t xml:space="preserve"> denilmektedir.</w:t>
      </w:r>
    </w:p>
    <w:p>
      <w:pPr>
        <w:pStyle w:val="defaultParagraphStyle"/>
        <w:jc w:val="both"/>
      </w:pPr>
      <w:r>
        <w:rPr>
          <w:rFonts w:ascii="Times New Roman" w:cs="Times New Roman" w:eastAsia="Times New Roman" w:hAnsi="Times New Roman"/>
        </w:rPr>
        <w:t xml:space="preserve">İstanbul Anadolu 4. Asliye Ticaret Mahkemesi'nin 21.01.2026 tarihli, E. 2024/496 ve K. 2026/68 sayılı kararında da tazminatın şartları şu şekilde izah edilmiştir:</w:t>
      </w:r>
    </w:p>
    <w:p>
      <w:pPr>
        <w:pStyle w:val="blockquoteStyle"/>
        <w:jc w:val="left"/>
      </w:pPr>
      <w:r>
        <w:rPr>
          <w:rFonts w:ascii="Times New Roman" w:cs="Times New Roman" w:eastAsia="Times New Roman" w:hAnsi="Times New Roman"/>
          <w:i/>
          <w:iCs/>
          <w:color w:val="595959"/>
        </w:rPr>
        <w:t xml:space="preserve">"İcra İflas Kanunu 67/2’nci maddesi uyarınca icra-inkâr tazminatına hükmedilmesi için borçlunun takip sırasında ödeme emrine itiraz etmesi ve alacaklının alacağını doğrudan mahkemede dava ederek haklı çıkması yasal koşullardandır."</w:t>
      </w:r>
      <w:r>
        <w:rPr>
          <w:rFonts w:ascii="Times New Roman" w:cs="Times New Roman" w:eastAsia="Times New Roman" w:hAnsi="Times New Roman"/>
        </w:rPr>
        <w:br/>
      </w:r>
      <w:r>
        <w:rPr>
          <w:rFonts w:ascii="Times New Roman" w:cs="Times New Roman" w:eastAsia="Times New Roman" w:hAnsi="Times New Roman"/>
          <w:i/>
          <w:iCs/>
          <w:color w:val="595959"/>
        </w:rPr>
        <w:t xml:space="preserve">"Borçlunun kötü niyetli olması şart değildir. Borçlu yalnız başına ne kadar borçlu olduğunu tespit edebilir durumda ise alacağın likit ve muayyen olduğunun kabulü zorunludur."</w:t>
      </w:r>
    </w:p>
    <w:p>
      <w:pPr>
        <w:pStyle w:val="defaultParagraphStyle"/>
        <w:jc w:val="both"/>
      </w:pPr>
      <w:r>
        <w:rPr>
          <w:rFonts w:ascii="Times New Roman" w:cs="Times New Roman" w:eastAsia="Times New Roman" w:hAnsi="Times New Roman"/>
        </w:rPr>
        <w:t xml:space="preserve">Yargıtay 11. Hukuk Dairesi'nin 18.04.2024 tarihli, E. 2022/6482 ve K. 2024/2995 sayılı ilamında da faturaya dayalı uyuşmazlıklarda tazminatın yasal gerekçesi:</w:t>
      </w:r>
    </w:p>
    <w:p>
      <w:pPr>
        <w:pStyle w:val="blockquoteStyle"/>
        <w:jc w:val="both"/>
      </w:pPr>
      <w:r>
        <w:rPr>
          <w:rFonts w:ascii="Times New Roman" w:cs="Times New Roman" w:eastAsia="Times New Roman" w:hAnsi="Times New Roman"/>
          <w:i/>
          <w:iCs/>
          <w:color w:val="595959"/>
        </w:rPr>
        <w:t xml:space="preserve">"dava, faturaya dayalı olup, alacak likit ve dosya kapsamına göre itirazın haksız olduğu"</w:t>
      </w:r>
      <w:r>
        <w:rPr>
          <w:rFonts w:ascii="Times New Roman" w:cs="Times New Roman" w:eastAsia="Times New Roman" w:hAnsi="Times New Roman"/>
          <w:i/>
          <w:iCs/>
          <w:color w:val="595959"/>
        </w:rPr>
        <w:t xml:space="preserve"> denilerek perçinlenmiştir.</w:t>
      </w:r>
    </w:p>
    <w:p>
      <w:pPr>
        <w:pStyle w:val="defaultParagraphStyle"/>
        <w:jc w:val="both"/>
      </w:pPr>
      <w:r>
        <w:rPr>
          <w:rFonts w:ascii="Times New Roman" w:cs="Times New Roman" w:eastAsia="Times New Roman" w:hAnsi="Times New Roman"/>
        </w:rPr>
        <w:t xml:space="preserve">Nitekim İstanbul 11. Asliye Ticaret Mahkemesi'nin 10.02.2021 tarihli, E. 2017/1106 ve K. 2021/90 sayılı kararında belirtildiği üzere:</w:t>
      </w:r>
    </w:p>
    <w:p>
      <w:pPr>
        <w:pStyle w:val="blockquoteStyle"/>
        <w:jc w:val="both"/>
      </w:pPr>
      <w:r>
        <w:rPr>
          <w:rFonts w:ascii="Times New Roman" w:cs="Times New Roman" w:eastAsia="Times New Roman" w:hAnsi="Times New Roman"/>
          <w:i/>
          <w:iCs/>
          <w:color w:val="595959"/>
        </w:rPr>
        <w:t xml:space="preserve">"İİK.’nun 67/2 maddesinde düzenlenen icra inkar tazminatının amacı alacağın tahsilini geciktirmeye yönelik haksız itirazları önlemek olduğundan, takip konusu fatura alacağı da likit ve itiraz da kısmen haksız olduğundan, davacı lehine kabul edilen alacağın %20'si oranında hesaplanan icra inkar tazminatını kapsar şekilde... davanın kısmen kabulüne... karar vermek gerektiği sonuç ve kanaatine varılmıştır."</w:t>
      </w:r>
    </w:p>
    <w:p>
      <w:pPr>
        <w:pStyle w:val="defaultParagraphStyle"/>
        <w:jc w:val="both"/>
      </w:pPr>
      <w:r>
        <w:rPr>
          <w:rFonts w:ascii="Times New Roman" w:cs="Times New Roman" w:eastAsia="Times New Roman" w:hAnsi="Times New Roman"/>
        </w:rPr>
        <w:t xml:space="preserve">Tüm bu yerleşik içtihatlar ışığında; davalı borçlu borcun miktarını ve kapsamını bilebilecek durumdayken salt icra takibini sürüncemede bırakmak ve müvekkilin tahsilatına engel olmak saikiyle itirazda bulunmuştur. Alacak faturaya dayalı ve likit olduğundan, asıl alacağın %20’sinden aşağı olmamak üzere icra inkâr tazminatına hükmedilmelidir.</w:t>
      </w:r>
    </w:p>
    <w:p>
      <w:pPr>
        <w:pStyle w:val="defaultParagraphStyle"/>
        <w:pBdr>
          <w:bottom w:val="single" w:color="auto" w:sz="6" w:space="1"/>
        </w:pBdr>
      </w:pPr>
    </w:p>
    <w:p>
      <w:pPr>
        <w:pStyle w:val="defaultParagraphStyle"/>
        <w:jc w:val="both"/>
      </w:pPr>
      <w:r>
        <w:rPr>
          <w:rFonts w:ascii="Times New Roman" w:cs="Times New Roman" w:eastAsia="Times New Roman" w:hAnsi="Times New Roman"/>
          <w:b/>
          <w:bCs/>
        </w:rPr>
        <w:t xml:space="preserve">HUKUKİ SEBEPLER:</w:t>
      </w:r>
      <w:r>
        <w:rPr>
          <w:rFonts w:ascii="Times New Roman" w:cs="Times New Roman" w:eastAsia="Times New Roman" w:hAnsi="Times New Roman"/>
        </w:rPr>
        <w:t xml:space="preserve"> 2004 sayılı İcra ve İflas Kanunu (özellikle m. 67), 6102 sayılı Türk Ticaret Kanunu (özellikle m. 4, 5/A, 21), 6100 sayılı Hukuk Muhakemeleri Kanunu (özellikle m. 222), 6098 sayılı Türk Borçlar Kanunu, 6325 sayılı Hukuk Uyuşmazlıklarında Arabuluculuk Kanunu ve ilgili tüm mevzuat.</w:t>
      </w:r>
    </w:p>
    <w:p>
      <w:pPr>
        <w:pStyle w:val="defaultParagraphStyle"/>
        <w:jc w:val="both"/>
      </w:pPr>
      <w:r>
        <w:rPr>
          <w:rFonts w:ascii="Times New Roman" w:cs="Times New Roman" w:eastAsia="Times New Roman" w:hAnsi="Times New Roman"/>
          <w:b/>
          <w:bCs/>
        </w:rPr>
        <w:t xml:space="preserve">HUKUKİ DELİLLER:</w:t>
      </w:r>
    </w:p>
    <w:p>
      <w:pPr>
        <w:pStyle w:val="defaultParagraphStyle"/>
        <w:numPr>
          <w:ilvl w:val="0"/>
          <w:numId w:val="2"/>
        </w:numPr>
        <w:spacing w:line="276" w:after="120" w:lineRule="auto"/>
        <w:jc w:val="both"/>
      </w:pPr>
      <w:r>
        <w:rPr>
          <w:rFonts w:ascii="Times New Roman" w:cs="Times New Roman" w:eastAsia="Times New Roman" w:hAnsi="Times New Roman"/>
        </w:rPr>
        <w:t xml:space="preserve">İstanbul [ ]. İcra Dairesi'nin [Yıl]/[Esas No] E. sayılı takip dosyası (Celbi talep olunur),</w:t>
      </w:r>
    </w:p>
    <w:p>
      <w:pPr>
        <w:pStyle w:val="defaultParagraphStyle"/>
        <w:numPr>
          <w:ilvl w:val="0"/>
          <w:numId w:val="2"/>
        </w:numPr>
        <w:spacing w:line="276" w:after="120" w:lineRule="auto"/>
        <w:jc w:val="both"/>
      </w:pPr>
      <w:r>
        <w:rPr>
          <w:rFonts w:ascii="Times New Roman" w:cs="Times New Roman" w:eastAsia="Times New Roman" w:hAnsi="Times New Roman"/>
        </w:rPr>
        <w:t xml:space="preserve">İstanbul Arabuluculuk Bürosu’nun [Tarih] tarihli Arabuluculuk Son Anlaşamama Tutanağı,</w:t>
      </w:r>
    </w:p>
    <w:p>
      <w:pPr>
        <w:pStyle w:val="defaultParagraphStyle"/>
        <w:numPr>
          <w:ilvl w:val="0"/>
          <w:numId w:val="2"/>
        </w:numPr>
        <w:spacing w:line="276" w:after="120" w:lineRule="auto"/>
        <w:jc w:val="both"/>
      </w:pPr>
      <w:r>
        <w:rPr>
          <w:rFonts w:ascii="Times New Roman" w:cs="Times New Roman" w:eastAsia="Times New Roman" w:hAnsi="Times New Roman"/>
        </w:rPr>
        <w:t xml:space="preserve">Taraflar arasındaki ticari ilişkiye dayanak satış faturaları, irsaliyeler ve teslim belgeleri,</w:t>
      </w:r>
    </w:p>
    <w:p>
      <w:pPr>
        <w:pStyle w:val="defaultParagraphStyle"/>
        <w:numPr>
          <w:ilvl w:val="0"/>
          <w:numId w:val="2"/>
        </w:numPr>
        <w:spacing w:line="276" w:after="120" w:lineRule="auto"/>
        <w:jc w:val="both"/>
      </w:pPr>
      <w:r>
        <w:rPr>
          <w:rFonts w:ascii="Times New Roman" w:cs="Times New Roman" w:eastAsia="Times New Roman" w:hAnsi="Times New Roman"/>
        </w:rPr>
        <w:t xml:space="preserve">Müvekkil şirkete ait açılış/kapanış tasdikleri tam yasal ticari defterler, envanter ve kayıtlar,</w:t>
      </w:r>
    </w:p>
    <w:p>
      <w:pPr>
        <w:pStyle w:val="defaultParagraphStyle"/>
        <w:numPr>
          <w:ilvl w:val="0"/>
          <w:numId w:val="2"/>
        </w:numPr>
        <w:spacing w:line="276" w:after="120" w:lineRule="auto"/>
        <w:jc w:val="both"/>
      </w:pPr>
      <w:r>
        <w:rPr>
          <w:rFonts w:ascii="Times New Roman" w:cs="Times New Roman" w:eastAsia="Times New Roman" w:hAnsi="Times New Roman"/>
        </w:rPr>
        <w:t xml:space="preserve">Davalı tarafa ait ticari defter ve kayıtlar (Davalının ibrazı talep olunur),</w:t>
      </w:r>
    </w:p>
    <w:p>
      <w:pPr>
        <w:pStyle w:val="defaultParagraphStyle"/>
        <w:numPr>
          <w:ilvl w:val="0"/>
          <w:numId w:val="2"/>
        </w:numPr>
        <w:spacing w:line="276" w:after="120" w:lineRule="auto"/>
        <w:jc w:val="both"/>
      </w:pPr>
      <w:r>
        <w:rPr>
          <w:rFonts w:ascii="Times New Roman" w:cs="Times New Roman" w:eastAsia="Times New Roman" w:hAnsi="Times New Roman"/>
        </w:rPr>
        <w:t xml:space="preserve">Taraflara ait vergi dairesi BA/BS bildirim formları ve muhasebe dökümleri (İlgili Vergi Dairesinden celbi talep olunur),</w:t>
      </w:r>
    </w:p>
    <w:p>
      <w:pPr>
        <w:pStyle w:val="defaultParagraphStyle"/>
        <w:numPr>
          <w:ilvl w:val="0"/>
          <w:numId w:val="2"/>
        </w:numPr>
        <w:spacing w:line="276" w:after="120" w:lineRule="auto"/>
        <w:jc w:val="both"/>
      </w:pPr>
      <w:r>
        <w:rPr>
          <w:rFonts w:ascii="Times New Roman" w:cs="Times New Roman" w:eastAsia="Times New Roman" w:hAnsi="Times New Roman"/>
        </w:rPr>
        <w:t xml:space="preserve">Cari hesap ekstreleri ve mutabakat yazışmaları,</w:t>
      </w:r>
    </w:p>
    <w:p>
      <w:pPr>
        <w:pStyle w:val="defaultParagraphStyle"/>
        <w:numPr>
          <w:ilvl w:val="0"/>
          <w:numId w:val="2"/>
        </w:numPr>
        <w:spacing w:line="276" w:after="120" w:lineRule="auto"/>
        <w:jc w:val="both"/>
      </w:pPr>
      <w:r>
        <w:rPr>
          <w:rFonts w:ascii="Times New Roman" w:cs="Times New Roman" w:eastAsia="Times New Roman" w:hAnsi="Times New Roman"/>
        </w:rPr>
        <w:t xml:space="preserve">Banka kayıtları ve hesap hareketleri,</w:t>
      </w:r>
    </w:p>
    <w:p>
      <w:pPr>
        <w:pStyle w:val="defaultParagraphStyle"/>
        <w:numPr>
          <w:ilvl w:val="0"/>
          <w:numId w:val="2"/>
        </w:numPr>
        <w:spacing w:line="276" w:after="120" w:lineRule="auto"/>
        <w:jc w:val="both"/>
      </w:pPr>
      <w:r>
        <w:rPr>
          <w:rFonts w:ascii="Times New Roman" w:cs="Times New Roman" w:eastAsia="Times New Roman" w:hAnsi="Times New Roman"/>
        </w:rPr>
        <w:t xml:space="preserve">Bilirkişi incelemesi (SMMM/Mali Müşavir ve sektörel uzman bilirkişi),</w:t>
      </w:r>
    </w:p>
    <w:p>
      <w:pPr>
        <w:pStyle w:val="defaultParagraphStyle"/>
        <w:numPr>
          <w:ilvl w:val="0"/>
          <w:numId w:val="2"/>
        </w:numPr>
        <w:spacing w:line="276" w:after="120" w:lineRule="auto"/>
        <w:jc w:val="both"/>
      </w:pPr>
      <w:r>
        <w:rPr>
          <w:rFonts w:ascii="Times New Roman" w:cs="Times New Roman" w:eastAsia="Times New Roman" w:hAnsi="Times New Roman"/>
        </w:rPr>
        <w:t xml:space="preserve">Keşif, yemin, tanık, isticvap ve ikamesi mümkün her türlü yasal delil.</w:t>
      </w:r>
    </w:p>
    <w:p>
      <w:pPr>
        <w:pStyle w:val="defaultParagraphStyle"/>
        <w:pBdr>
          <w:bottom w:val="single" w:color="auto" w:sz="6" w:space="1"/>
        </w:pBdr>
      </w:pPr>
    </w:p>
    <w:p>
      <w:pPr>
        <w:pStyle w:val="heading3Style"/>
      </w:pPr>
      <w:r>
        <w:rPr>
          <w:rFonts w:ascii="Times New Roman" w:cs="Times New Roman" w:eastAsia="Times New Roman" w:hAnsi="Times New Roman"/>
        </w:rPr>
        <w:t xml:space="preserve">NETİCE VE TALEP</w:t>
      </w:r>
    </w:p>
    <w:p>
      <w:pPr>
        <w:pStyle w:val="defaultParagraphStyle"/>
        <w:jc w:val="both"/>
      </w:pPr>
      <w:r>
        <w:rPr>
          <w:rFonts w:ascii="Times New Roman" w:cs="Times New Roman" w:eastAsia="Times New Roman" w:hAnsi="Times New Roman"/>
        </w:rPr>
        <w:t xml:space="preserve">Yukarıda arz ve izah edilen nedenler ile Sayın Mahkemenizce resen gözetilecek hususlar karşısında;</w:t>
      </w:r>
    </w:p>
    <w:p>
      <w:pPr>
        <w:pStyle w:val="defaultParagraphStyle"/>
        <w:numPr>
          <w:ilvl w:val="0"/>
          <w:numId w:val="2"/>
        </w:numPr>
        <w:spacing w:line="276" w:after="120" w:lineRule="auto"/>
        <w:jc w:val="both"/>
      </w:pPr>
      <w:r>
        <w:rPr>
          <w:rFonts w:ascii="Times New Roman" w:cs="Times New Roman" w:eastAsia="Times New Roman" w:hAnsi="Times New Roman"/>
          <w:b/>
          <w:bCs/>
        </w:rPr>
        <w:t xml:space="preserve">DAVANIN KABULÜNE,</w:t>
      </w:r>
    </w:p>
    <w:p>
      <w:pPr>
        <w:pStyle w:val="defaultParagraphStyle"/>
        <w:numPr>
          <w:ilvl w:val="0"/>
          <w:numId w:val="2"/>
        </w:numPr>
        <w:spacing w:line="276" w:after="120" w:lineRule="auto"/>
        <w:jc w:val="both"/>
      </w:pPr>
      <w:r>
        <w:rPr>
          <w:rFonts w:ascii="Times New Roman" w:cs="Times New Roman" w:eastAsia="Times New Roman" w:hAnsi="Times New Roman"/>
        </w:rPr>
        <w:t xml:space="preserve">Davalı borçlunun İstanbul [ ]. İcra Dairesi'nin [Yıl]/[Esas No] E. sayılı icra takip dosyasına vaki haksız, mesnetsiz ve kötü niyetli </w:t>
      </w:r>
      <w:r>
        <w:rPr>
          <w:rFonts w:ascii="Times New Roman" w:cs="Times New Roman" w:eastAsia="Times New Roman" w:hAnsi="Times New Roman"/>
          <w:b/>
          <w:bCs/>
        </w:rPr>
        <w:t xml:space="preserve">İTİRAZININ İPTALİNE,</w:t>
      </w:r>
    </w:p>
    <w:p>
      <w:pPr>
        <w:pStyle w:val="defaultParagraphStyle"/>
        <w:numPr>
          <w:ilvl w:val="0"/>
          <w:numId w:val="2"/>
        </w:numPr>
        <w:spacing w:line="276" w:after="120" w:lineRule="auto"/>
        <w:jc w:val="both"/>
      </w:pPr>
      <w:r>
        <w:rPr>
          <w:rFonts w:ascii="Times New Roman" w:cs="Times New Roman" w:eastAsia="Times New Roman" w:hAnsi="Times New Roman"/>
        </w:rPr>
        <w:t xml:space="preserve">İcra takibinin takip talebindeki kayıt ve şartlarla, asıl alacak ve takip tarihinden itibaren işleyecek ticari avans faizi ve diğer ferileriyle birlikte </w:t>
      </w:r>
      <w:r>
        <w:rPr>
          <w:rFonts w:ascii="Times New Roman" w:cs="Times New Roman" w:eastAsia="Times New Roman" w:hAnsi="Times New Roman"/>
          <w:b/>
          <w:bCs/>
        </w:rPr>
        <w:t xml:space="preserve">AYNEN DEVAMINA,</w:t>
      </w:r>
    </w:p>
    <w:p>
      <w:pPr>
        <w:pStyle w:val="defaultParagraphStyle"/>
        <w:numPr>
          <w:ilvl w:val="0"/>
          <w:numId w:val="2"/>
        </w:numPr>
        <w:spacing w:line="276" w:after="120" w:lineRule="auto"/>
        <w:jc w:val="both"/>
      </w:pPr>
      <w:r>
        <w:rPr>
          <w:rFonts w:ascii="Times New Roman" w:cs="Times New Roman" w:eastAsia="Times New Roman" w:hAnsi="Times New Roman"/>
        </w:rPr>
        <w:t xml:space="preserve">Takip konusu alacağın faturaya dayalı ve likit olması, borçlunun itirazının haksızlığı sabit bulunması sebebiyle, takip konusu asıl alacağın %20’sinden aşağı olmamak üzere </w:t>
      </w:r>
      <w:r>
        <w:rPr>
          <w:rFonts w:ascii="Times New Roman" w:cs="Times New Roman" w:eastAsia="Times New Roman" w:hAnsi="Times New Roman"/>
          <w:b/>
          <w:bCs/>
        </w:rPr>
        <w:t xml:space="preserve">İCRA İNKÂR TAZMİNATININ</w:t>
      </w:r>
      <w:r>
        <w:rPr>
          <w:rFonts w:ascii="Times New Roman" w:cs="Times New Roman" w:eastAsia="Times New Roman" w:hAnsi="Times New Roman"/>
        </w:rPr>
        <w:t xml:space="preserve"> davalıdan tahsili ile davacı müvekkile ödenmesine,</w:t>
      </w:r>
    </w:p>
    <w:p>
      <w:pPr>
        <w:pStyle w:val="defaultParagraphStyle"/>
        <w:numPr>
          <w:ilvl w:val="0"/>
          <w:numId w:val="2"/>
        </w:numPr>
        <w:spacing w:line="276" w:after="120" w:lineRule="auto"/>
        <w:jc w:val="both"/>
      </w:pPr>
      <w:r>
        <w:rPr>
          <w:rFonts w:ascii="Times New Roman" w:cs="Times New Roman" w:eastAsia="Times New Roman" w:hAnsi="Times New Roman"/>
        </w:rPr>
        <w:t xml:space="preserve">Yargılama giderleri, arabuluculuk sarfiyatı ve vekâlet ücretinin davalı taraf üzerinde bırakılmasına,</w:t>
      </w:r>
    </w:p>
    <w:p>
      <w:pPr>
        <w:pStyle w:val="defaultParagraphStyle"/>
        <w:jc w:val="both"/>
      </w:pPr>
      <w:r>
        <w:rPr>
          <w:rFonts w:ascii="Times New Roman" w:cs="Times New Roman" w:eastAsia="Times New Roman" w:hAnsi="Times New Roman"/>
        </w:rPr>
        <w:t xml:space="preserve">Karar verilmesini vekil eden adına saygılarımla arz ve talep ederim. [Tarih]</w:t>
      </w:r>
    </w:p>
    <w:p>
      <w:pPr>
        <w:pStyle w:val="defaultParagraphStyle"/>
        <w:jc w:val="left"/>
      </w:pPr>
      <w:r>
        <w:rPr>
          <w:rFonts w:ascii="Times New Roman" w:cs="Times New Roman" w:eastAsia="Times New Roman" w:hAnsi="Times New Roman"/>
          <w:b/>
          <w:bCs/>
        </w:rPr>
        <w:t xml:space="preserve">Davacı Vekili</w:t>
      </w:r>
      <w:r>
        <w:rPr>
          <w:rFonts w:ascii="Times New Roman" w:cs="Times New Roman" w:eastAsia="Times New Roman" w:hAnsi="Times New Roman"/>
        </w:rPr>
        <w:br/>
      </w:r>
      <w:r>
        <w:rPr>
          <w:rFonts w:ascii="Times New Roman" w:cs="Times New Roman" w:eastAsia="Times New Roman" w:hAnsi="Times New Roman"/>
          <w:b/>
          <w:bCs/>
        </w:rPr>
        <w:t xml:space="preserve">Av. [Ad Soyad]</w:t>
      </w:r>
      <w:r>
        <w:rPr>
          <w:rFonts w:ascii="Times New Roman" w:cs="Times New Roman" w:eastAsia="Times New Roman" w:hAnsi="Times New Roman"/>
        </w:rPr>
        <w:br/>
      </w:r>
      <w:r>
        <w:rPr>
          <w:rFonts w:ascii="Times New Roman" w:cs="Times New Roman" w:eastAsia="Times New Roman" w:hAnsi="Times New Roman"/>
          <w:i/>
          <w:iCs/>
        </w:rPr>
        <w:t xml:space="preserve">(e-İmzalıdır)</w:t>
      </w:r>
    </w:p>
    <w:p>
      <w:pPr>
        <w:pStyle w:val="referenceTitleStyle"/>
        <w:pageBreakBefore/>
      </w:pPr>
      <w:r>
        <w:t xml:space="preserve">Kaynakça</w:t>
      </w:r>
    </w:p>
    <w:p>
      <w:pPr>
        <w:pStyle w:val="referenceSectionTitleStyle"/>
      </w:pPr>
      <w:r>
        <w:t xml:space="preserve">Yargı Kararları</w:t>
      </w:r>
    </w:p>
    <w:p>
      <w:pPr>
        <w:pStyle w:val="referenceItemStyle"/>
        <w:tabs>
          <w:tab w:val="left" w:pos="451.3"/>
        </w:tabs>
      </w:pPr>
      <w:r>
        <w:rPr>
          <w:rFonts w:ascii="Times New Roman" w:cs="Times New Roman" w:eastAsia="Times New Roman" w:hAnsi="Times New Roman"/>
          <w:sz w:val="24"/>
          <w:szCs w:val="24"/>
        </w:rPr>
        <w:t xml:space="preserve">1.	</w:t>
      </w:r>
      <w:hyperlink w:history="1" r:id="rIdqnaspsmrna5xmhkvpw_ze">
        <w:r>
          <w:rPr>
            <w:rStyle w:val="Hyperlink"/>
            <w:rFonts w:ascii="Times New Roman" w:cs="Times New Roman" w:eastAsia="Times New Roman" w:hAnsi="Times New Roman"/>
            <w:sz w:val="24"/>
            <w:szCs w:val="24"/>
          </w:rPr>
          <w:t xml:space="preserve">İstanbul Bölge Adliye Mahkemesi 13. Hukuk Dairesi, E. 2019/1644, K. 2021/964, T. 24.06.2021</w:t>
        </w:r>
      </w:hyperlink>
    </w:p>
    <w:p>
      <w:pPr>
        <w:pStyle w:val="referenceItemStyle"/>
        <w:tabs>
          <w:tab w:val="left" w:pos="451.3"/>
        </w:tabs>
      </w:pPr>
      <w:r>
        <w:rPr>
          <w:rFonts w:ascii="Times New Roman" w:cs="Times New Roman" w:eastAsia="Times New Roman" w:hAnsi="Times New Roman"/>
          <w:sz w:val="24"/>
          <w:szCs w:val="24"/>
        </w:rPr>
        <w:t xml:space="preserve">2.	</w:t>
      </w:r>
      <w:hyperlink w:history="1" r:id="rIdkq4jt6spdsuokx2dhjgbf">
        <w:r>
          <w:rPr>
            <w:rStyle w:val="Hyperlink"/>
            <w:rFonts w:ascii="Times New Roman" w:cs="Times New Roman" w:eastAsia="Times New Roman" w:hAnsi="Times New Roman"/>
            <w:sz w:val="24"/>
            <w:szCs w:val="24"/>
          </w:rPr>
          <w:t xml:space="preserve">Ankara 14. Asliye Ticaret Mahkemesi, E. 2023/644, K. 2024/480, T. 26.06.2024</w:t>
        </w:r>
      </w:hyperlink>
    </w:p>
    <w:p>
      <w:pPr>
        <w:pStyle w:val="referenceItemStyle"/>
        <w:tabs>
          <w:tab w:val="left" w:pos="451.3"/>
        </w:tabs>
      </w:pPr>
      <w:r>
        <w:rPr>
          <w:rFonts w:ascii="Times New Roman" w:cs="Times New Roman" w:eastAsia="Times New Roman" w:hAnsi="Times New Roman"/>
          <w:sz w:val="24"/>
          <w:szCs w:val="24"/>
        </w:rPr>
        <w:t xml:space="preserve">3.	</w:t>
      </w:r>
      <w:hyperlink w:history="1" r:id="rIdycva1mbutmoblqbyeeic9">
        <w:r>
          <w:rPr>
            <w:rStyle w:val="Hyperlink"/>
            <w:rFonts w:ascii="Times New Roman" w:cs="Times New Roman" w:eastAsia="Times New Roman" w:hAnsi="Times New Roman"/>
            <w:sz w:val="24"/>
            <w:szCs w:val="24"/>
          </w:rPr>
          <w:t xml:space="preserve">İstanbul 11. Asliye Ticaret Mahkemesi, E. 2017/1106, K. 2021/90, T. 10.02.2021</w:t>
        </w:r>
      </w:hyperlink>
    </w:p>
    <w:p>
      <w:pPr>
        <w:pStyle w:val="referenceItemStyle"/>
        <w:tabs>
          <w:tab w:val="left" w:pos="451.3"/>
        </w:tabs>
      </w:pPr>
      <w:r>
        <w:rPr>
          <w:rFonts w:ascii="Times New Roman" w:cs="Times New Roman" w:eastAsia="Times New Roman" w:hAnsi="Times New Roman"/>
          <w:sz w:val="24"/>
          <w:szCs w:val="24"/>
        </w:rPr>
        <w:t xml:space="preserve">4.	</w:t>
      </w:r>
      <w:hyperlink w:history="1" r:id="rIdz6a56dlt5nyee8o4k4ixi">
        <w:r>
          <w:rPr>
            <w:rStyle w:val="Hyperlink"/>
            <w:rFonts w:ascii="Times New Roman" w:cs="Times New Roman" w:eastAsia="Times New Roman" w:hAnsi="Times New Roman"/>
            <w:sz w:val="24"/>
            <w:szCs w:val="24"/>
          </w:rPr>
          <w:t xml:space="preserve">Antalya 2. Asliye Ticaret Mahkemesi, E. 2024/369, K. 2025/298, T. 25.03.2025</w:t>
        </w:r>
      </w:hyperlink>
    </w:p>
    <w:p>
      <w:pPr>
        <w:pStyle w:val="referenceItemStyle"/>
        <w:tabs>
          <w:tab w:val="left" w:pos="451.3"/>
        </w:tabs>
      </w:pPr>
      <w:r>
        <w:rPr>
          <w:rFonts w:ascii="Times New Roman" w:cs="Times New Roman" w:eastAsia="Times New Roman" w:hAnsi="Times New Roman"/>
          <w:sz w:val="24"/>
          <w:szCs w:val="24"/>
        </w:rPr>
        <w:t xml:space="preserve">5.	</w:t>
      </w:r>
      <w:hyperlink w:history="1" r:id="rIdalmabakkq8mj8n8w8p8jp">
        <w:r>
          <w:rPr>
            <w:rStyle w:val="Hyperlink"/>
            <w:rFonts w:ascii="Times New Roman" w:cs="Times New Roman" w:eastAsia="Times New Roman" w:hAnsi="Times New Roman"/>
            <w:sz w:val="24"/>
            <w:szCs w:val="24"/>
          </w:rPr>
          <w:t xml:space="preserve">Yargıtay, 11. Hukuk Dairesi, E. 2022/6482, K. 2024/2995, T. 18.04.2024</w:t>
        </w:r>
      </w:hyperlink>
    </w:p>
    <w:p>
      <w:pPr>
        <w:pStyle w:val="referenceItemStyle"/>
        <w:tabs>
          <w:tab w:val="left" w:pos="451.3"/>
        </w:tabs>
      </w:pPr>
      <w:r>
        <w:rPr>
          <w:rFonts w:ascii="Times New Roman" w:cs="Times New Roman" w:eastAsia="Times New Roman" w:hAnsi="Times New Roman"/>
          <w:sz w:val="24"/>
          <w:szCs w:val="24"/>
        </w:rPr>
        <w:t xml:space="preserve">6.	</w:t>
      </w:r>
      <w:hyperlink w:history="1" r:id="rIdjdibervpdumsiligprvjb">
        <w:r>
          <w:rPr>
            <w:rStyle w:val="Hyperlink"/>
            <w:rFonts w:ascii="Times New Roman" w:cs="Times New Roman" w:eastAsia="Times New Roman" w:hAnsi="Times New Roman"/>
            <w:sz w:val="24"/>
            <w:szCs w:val="24"/>
          </w:rPr>
          <w:t xml:space="preserve">İstanbul 14. Asliye Ticaret Mahkemesi, E. 2020/438, K. 2023/395, T. 17.05.2023</w:t>
        </w:r>
      </w:hyperlink>
    </w:p>
    <w:p>
      <w:pPr>
        <w:pStyle w:val="referenceItemStyle"/>
        <w:tabs>
          <w:tab w:val="left" w:pos="451.3"/>
        </w:tabs>
      </w:pPr>
      <w:r>
        <w:rPr>
          <w:rFonts w:ascii="Times New Roman" w:cs="Times New Roman" w:eastAsia="Times New Roman" w:hAnsi="Times New Roman"/>
          <w:sz w:val="24"/>
          <w:szCs w:val="24"/>
        </w:rPr>
        <w:t xml:space="preserve">7.	</w:t>
      </w:r>
      <w:hyperlink w:history="1" r:id="rId0kz5zigtb6ey_o0ljgfft">
        <w:r>
          <w:rPr>
            <w:rStyle w:val="Hyperlink"/>
            <w:rFonts w:ascii="Times New Roman" w:cs="Times New Roman" w:eastAsia="Times New Roman" w:hAnsi="Times New Roman"/>
            <w:sz w:val="24"/>
            <w:szCs w:val="24"/>
          </w:rPr>
          <w:t xml:space="preserve">İstanbul Anadolu 4. Asliye Ticaret Mahkemesi, E. 2025/98, K. 2025/740, T. 25.09.2025</w:t>
        </w:r>
      </w:hyperlink>
    </w:p>
    <w:p>
      <w:pPr>
        <w:pStyle w:val="referenceItemStyle"/>
        <w:tabs>
          <w:tab w:val="left" w:pos="451.3"/>
        </w:tabs>
      </w:pPr>
      <w:r>
        <w:rPr>
          <w:rFonts w:ascii="Times New Roman" w:cs="Times New Roman" w:eastAsia="Times New Roman" w:hAnsi="Times New Roman"/>
          <w:sz w:val="24"/>
          <w:szCs w:val="24"/>
        </w:rPr>
        <w:t xml:space="preserve">8.	</w:t>
      </w:r>
      <w:hyperlink w:history="1" r:id="rIdp_qtllsitw80teikvbwe_">
        <w:r>
          <w:rPr>
            <w:rStyle w:val="Hyperlink"/>
            <w:rFonts w:ascii="Times New Roman" w:cs="Times New Roman" w:eastAsia="Times New Roman" w:hAnsi="Times New Roman"/>
            <w:sz w:val="24"/>
            <w:szCs w:val="24"/>
          </w:rPr>
          <w:t xml:space="preserve">İstanbul Anadolu 1. Asliye Ticaret Mahkemesi, E. 2023/932, K. 2024/786, T. 07.11.2024</w:t>
        </w:r>
      </w:hyperlink>
    </w:p>
    <w:p>
      <w:pPr>
        <w:pStyle w:val="referenceItemStyle"/>
        <w:tabs>
          <w:tab w:val="left" w:pos="451.3"/>
        </w:tabs>
      </w:pPr>
      <w:r>
        <w:rPr>
          <w:rFonts w:ascii="Times New Roman" w:cs="Times New Roman" w:eastAsia="Times New Roman" w:hAnsi="Times New Roman"/>
          <w:sz w:val="24"/>
          <w:szCs w:val="24"/>
        </w:rPr>
        <w:t xml:space="preserve">9.	</w:t>
      </w:r>
      <w:hyperlink w:history="1" r:id="rIdfcqcsay-bciyto46kz0h6">
        <w:r>
          <w:rPr>
            <w:rStyle w:val="Hyperlink"/>
            <w:rFonts w:ascii="Times New Roman" w:cs="Times New Roman" w:eastAsia="Times New Roman" w:hAnsi="Times New Roman"/>
            <w:sz w:val="24"/>
            <w:szCs w:val="24"/>
          </w:rPr>
          <w:t xml:space="preserve">İstanbul Anadolu 10. Asliye Ticaret Mahkemesi, E. 2019/533, K. 2021/524, T. 24.06.2021</w:t>
        </w:r>
      </w:hyperlink>
    </w:p>
    <w:p>
      <w:pPr>
        <w:pStyle w:val="referenceItemStyle"/>
        <w:tabs>
          <w:tab w:val="left" w:pos="451.3"/>
        </w:tabs>
      </w:pPr>
      <w:r>
        <w:rPr>
          <w:rFonts w:ascii="Times New Roman" w:cs="Times New Roman" w:eastAsia="Times New Roman" w:hAnsi="Times New Roman"/>
          <w:sz w:val="24"/>
          <w:szCs w:val="24"/>
        </w:rPr>
        <w:t xml:space="preserve">10.	</w:t>
      </w:r>
      <w:hyperlink w:history="1" r:id="rIdssxwhaxzkoknmh7zdkub8">
        <w:r>
          <w:rPr>
            <w:rStyle w:val="Hyperlink"/>
            <w:rFonts w:ascii="Times New Roman" w:cs="Times New Roman" w:eastAsia="Times New Roman" w:hAnsi="Times New Roman"/>
            <w:sz w:val="24"/>
            <w:szCs w:val="24"/>
          </w:rPr>
          <w:t xml:space="preserve">İstanbul 15. Asliye Ticaret Mahkemesi, E. 2024/269, K. 2026/200, T. 11.03.2026</w:t>
        </w:r>
      </w:hyperlink>
    </w:p>
    <w:p>
      <w:pPr>
        <w:pStyle w:val="referenceItemStyle"/>
        <w:tabs>
          <w:tab w:val="left" w:pos="451.3"/>
        </w:tabs>
      </w:pPr>
      <w:r>
        <w:rPr>
          <w:rFonts w:ascii="Times New Roman" w:cs="Times New Roman" w:eastAsia="Times New Roman" w:hAnsi="Times New Roman"/>
          <w:sz w:val="24"/>
          <w:szCs w:val="24"/>
        </w:rPr>
        <w:t xml:space="preserve">11.	</w:t>
      </w:r>
      <w:hyperlink w:history="1" r:id="rIdocsho18lswrv3nnedzsgu">
        <w:r>
          <w:rPr>
            <w:rStyle w:val="Hyperlink"/>
            <w:rFonts w:ascii="Times New Roman" w:cs="Times New Roman" w:eastAsia="Times New Roman" w:hAnsi="Times New Roman"/>
            <w:sz w:val="24"/>
            <w:szCs w:val="24"/>
          </w:rPr>
          <w:t xml:space="preserve">Antalya 4. Asliye Ticaret Mahkemesi, E. 2025/199, K. 2026/226, T. 05.03.2026</w:t>
        </w:r>
      </w:hyperlink>
    </w:p>
    <w:p>
      <w:pPr>
        <w:pStyle w:val="referenceItemStyle"/>
        <w:tabs>
          <w:tab w:val="left" w:pos="451.3"/>
        </w:tabs>
      </w:pPr>
      <w:r>
        <w:rPr>
          <w:rFonts w:ascii="Times New Roman" w:cs="Times New Roman" w:eastAsia="Times New Roman" w:hAnsi="Times New Roman"/>
          <w:sz w:val="24"/>
          <w:szCs w:val="24"/>
        </w:rPr>
        <w:t xml:space="preserve">12.	</w:t>
      </w:r>
      <w:hyperlink w:history="1" r:id="rIdbfoffzhgqqatavpbld21a">
        <w:r>
          <w:rPr>
            <w:rStyle w:val="Hyperlink"/>
            <w:rFonts w:ascii="Times New Roman" w:cs="Times New Roman" w:eastAsia="Times New Roman" w:hAnsi="Times New Roman"/>
            <w:sz w:val="24"/>
            <w:szCs w:val="24"/>
          </w:rPr>
          <w:t xml:space="preserve">Ankara 8. Asliye Ticaret Mahkemesi, E. 2019/542, K. 2024/701, T. 05.11.2024</w:t>
        </w:r>
      </w:hyperlink>
    </w:p>
    <w:p>
      <w:pPr>
        <w:pStyle w:val="referenceItemStyle"/>
        <w:tabs>
          <w:tab w:val="left" w:pos="451.3"/>
        </w:tabs>
      </w:pPr>
      <w:r>
        <w:rPr>
          <w:rFonts w:ascii="Times New Roman" w:cs="Times New Roman" w:eastAsia="Times New Roman" w:hAnsi="Times New Roman"/>
          <w:sz w:val="24"/>
          <w:szCs w:val="24"/>
        </w:rPr>
        <w:t xml:space="preserve">13.	</w:t>
      </w:r>
      <w:hyperlink w:history="1" r:id="rIdxqptqte4zpotfejdyedp8">
        <w:r>
          <w:rPr>
            <w:rStyle w:val="Hyperlink"/>
            <w:rFonts w:ascii="Times New Roman" w:cs="Times New Roman" w:eastAsia="Times New Roman" w:hAnsi="Times New Roman"/>
            <w:sz w:val="24"/>
            <w:szCs w:val="24"/>
          </w:rPr>
          <w:t xml:space="preserve">Bursa 2. Asliye Ticaret Mahkemesi, E. 2024/938, K. 2025/816, T. 18.07.2025</w:t>
        </w:r>
      </w:hyperlink>
    </w:p>
    <w:p>
      <w:pPr>
        <w:pStyle w:val="referenceItemStyle"/>
        <w:tabs>
          <w:tab w:val="left" w:pos="451.3"/>
        </w:tabs>
      </w:pPr>
      <w:r>
        <w:rPr>
          <w:rFonts w:ascii="Times New Roman" w:cs="Times New Roman" w:eastAsia="Times New Roman" w:hAnsi="Times New Roman"/>
          <w:sz w:val="24"/>
          <w:szCs w:val="24"/>
        </w:rPr>
        <w:t xml:space="preserve">14.	</w:t>
      </w:r>
      <w:hyperlink w:history="1" r:id="rIdf-qefsio3x-fvzdg9iqr6">
        <w:r>
          <w:rPr>
            <w:rStyle w:val="Hyperlink"/>
            <w:rFonts w:ascii="Times New Roman" w:cs="Times New Roman" w:eastAsia="Times New Roman" w:hAnsi="Times New Roman"/>
            <w:sz w:val="24"/>
            <w:szCs w:val="24"/>
          </w:rPr>
          <w:t xml:space="preserve">İstanbul 3. Asliye Ticaret Mahkemesi, E. 2025/42, K. 2025/732, T. 16.09.2025</w:t>
        </w:r>
      </w:hyperlink>
    </w:p>
    <w:p>
      <w:pPr>
        <w:pStyle w:val="referenceItemStyle"/>
        <w:tabs>
          <w:tab w:val="left" w:pos="451.3"/>
        </w:tabs>
      </w:pPr>
      <w:r>
        <w:rPr>
          <w:rFonts w:ascii="Times New Roman" w:cs="Times New Roman" w:eastAsia="Times New Roman" w:hAnsi="Times New Roman"/>
          <w:sz w:val="24"/>
          <w:szCs w:val="24"/>
        </w:rPr>
        <w:t xml:space="preserve">15.	</w:t>
      </w:r>
      <w:hyperlink w:history="1" r:id="rIdewvg56kvhvzlx70hhrijy">
        <w:r>
          <w:rPr>
            <w:rStyle w:val="Hyperlink"/>
            <w:rFonts w:ascii="Times New Roman" w:cs="Times New Roman" w:eastAsia="Times New Roman" w:hAnsi="Times New Roman"/>
            <w:sz w:val="24"/>
            <w:szCs w:val="24"/>
          </w:rPr>
          <w:t xml:space="preserve">İstanbul Anadolu 8. Asliye Ticaret Mahkemesi, E. 2022/315, K. 2024/687, T. 19.09.2024</w:t>
        </w:r>
      </w:hyperlink>
    </w:p>
    <w:p>
      <w:pPr>
        <w:pStyle w:val="referenceItemStyle"/>
        <w:tabs>
          <w:tab w:val="left" w:pos="451.3"/>
        </w:tabs>
      </w:pPr>
      <w:r>
        <w:rPr>
          <w:rFonts w:ascii="Times New Roman" w:cs="Times New Roman" w:eastAsia="Times New Roman" w:hAnsi="Times New Roman"/>
          <w:sz w:val="24"/>
          <w:szCs w:val="24"/>
        </w:rPr>
        <w:t xml:space="preserve">16.	</w:t>
      </w:r>
      <w:hyperlink w:history="1" r:id="rIdvdiqykr0mk8qzqmc1eqev">
        <w:r>
          <w:rPr>
            <w:rStyle w:val="Hyperlink"/>
            <w:rFonts w:ascii="Times New Roman" w:cs="Times New Roman" w:eastAsia="Times New Roman" w:hAnsi="Times New Roman"/>
            <w:sz w:val="24"/>
            <w:szCs w:val="24"/>
          </w:rPr>
          <w:t xml:space="preserve">İstanbul Anadolu 4. Asliye Ticaret Mahkemesi, E. 2024/496, K. 2026/68, T. 21.01.2026</w:t>
        </w:r>
      </w:hyperlink>
    </w:p>
    <w:p>
      <w:pPr>
        <w:pStyle w:val="referenceItemStyle"/>
        <w:tabs>
          <w:tab w:val="left" w:pos="451.3"/>
        </w:tabs>
      </w:pPr>
      <w:r>
        <w:rPr>
          <w:rFonts w:ascii="Times New Roman" w:cs="Times New Roman" w:eastAsia="Times New Roman" w:hAnsi="Times New Roman"/>
          <w:sz w:val="24"/>
          <w:szCs w:val="24"/>
        </w:rPr>
        <w:t xml:space="preserve">17.	</w:t>
      </w:r>
      <w:hyperlink w:history="1" r:id="rIddoeh3o9mpz_oscqtzj6m2">
        <w:r>
          <w:rPr>
            <w:rStyle w:val="Hyperlink"/>
            <w:rFonts w:ascii="Times New Roman" w:cs="Times New Roman" w:eastAsia="Times New Roman" w:hAnsi="Times New Roman"/>
            <w:sz w:val="24"/>
            <w:szCs w:val="24"/>
          </w:rPr>
          <w:t xml:space="preserve">Konya 4. Asliye Ticaret Mahkemesi, E. 2024/249, K. 2025/126, T. 18.02.2025</w:t>
        </w:r>
      </w:hyperlink>
    </w:p>
    <w:p>
      <w:pPr>
        <w:pStyle w:val="referenceItemStyle"/>
        <w:tabs>
          <w:tab w:val="left" w:pos="451.3"/>
        </w:tabs>
      </w:pPr>
      <w:r>
        <w:rPr>
          <w:rFonts w:ascii="Times New Roman" w:cs="Times New Roman" w:eastAsia="Times New Roman" w:hAnsi="Times New Roman"/>
          <w:sz w:val="24"/>
          <w:szCs w:val="24"/>
        </w:rPr>
        <w:t xml:space="preserve">18.	</w:t>
      </w:r>
      <w:hyperlink w:history="1" r:id="rId71t2gujbgljerdtgqbixb">
        <w:r>
          <w:rPr>
            <w:rStyle w:val="Hyperlink"/>
            <w:rFonts w:ascii="Times New Roman" w:cs="Times New Roman" w:eastAsia="Times New Roman" w:hAnsi="Times New Roman"/>
            <w:sz w:val="24"/>
            <w:szCs w:val="24"/>
          </w:rPr>
          <w:t xml:space="preserve">Antalya 3. Asliye Ticaret Mahkemesi, E. 2023/631, K. 2025/135, T. 25.02.2025</w:t>
        </w:r>
      </w:hyperlink>
    </w:p>
    <w:p>
      <w:pPr>
        <w:pStyle w:val="referenceItemStyle"/>
        <w:tabs>
          <w:tab w:val="left" w:pos="451.3"/>
        </w:tabs>
      </w:pPr>
      <w:r>
        <w:rPr>
          <w:rFonts w:ascii="Times New Roman" w:cs="Times New Roman" w:eastAsia="Times New Roman" w:hAnsi="Times New Roman"/>
          <w:sz w:val="24"/>
          <w:szCs w:val="24"/>
        </w:rPr>
        <w:t xml:space="preserve">19.	</w:t>
      </w:r>
      <w:hyperlink w:history="1" r:id="rIdykeimzxfxkyueqteuszey">
        <w:r>
          <w:rPr>
            <w:rStyle w:val="Hyperlink"/>
            <w:rFonts w:ascii="Times New Roman" w:cs="Times New Roman" w:eastAsia="Times New Roman" w:hAnsi="Times New Roman"/>
            <w:sz w:val="24"/>
            <w:szCs w:val="24"/>
          </w:rPr>
          <w:t xml:space="preserve">İstanbul 7. Asliye Ticaret Mahkemesi, E. 2023/452, K. 2025/352, T. 22.04.2025</w:t>
        </w:r>
      </w:hyperlink>
    </w:p>
    <w:p>
      <w:pPr>
        <w:pStyle w:val="referenceItemStyle"/>
        <w:tabs>
          <w:tab w:val="left" w:pos="451.3"/>
        </w:tabs>
      </w:pPr>
      <w:r>
        <w:rPr>
          <w:rFonts w:ascii="Times New Roman" w:cs="Times New Roman" w:eastAsia="Times New Roman" w:hAnsi="Times New Roman"/>
          <w:sz w:val="24"/>
          <w:szCs w:val="24"/>
        </w:rPr>
        <w:t xml:space="preserve">20.	</w:t>
      </w:r>
      <w:hyperlink w:history="1" r:id="rIdv7ool5ui97fczumfh6kaq">
        <w:r>
          <w:rPr>
            <w:rStyle w:val="Hyperlink"/>
            <w:rFonts w:ascii="Times New Roman" w:cs="Times New Roman" w:eastAsia="Times New Roman" w:hAnsi="Times New Roman"/>
            <w:sz w:val="24"/>
            <w:szCs w:val="24"/>
          </w:rPr>
          <w:t xml:space="preserve">İstanbul 15. Asliye Ticaret Mahkemesi, E. 2021/54, K. 2022/613, T. 13.09.2022</w:t>
        </w:r>
      </w:hyperlink>
    </w:p>
    <w:p>
      <w:pPr>
        <w:pStyle w:val="referenceItemStyle"/>
        <w:tabs>
          <w:tab w:val="left" w:pos="451.3"/>
        </w:tabs>
      </w:pPr>
      <w:r>
        <w:rPr>
          <w:rFonts w:ascii="Times New Roman" w:cs="Times New Roman" w:eastAsia="Times New Roman" w:hAnsi="Times New Roman"/>
          <w:sz w:val="24"/>
          <w:szCs w:val="24"/>
        </w:rPr>
        <w:t xml:space="preserve">21.	</w:t>
      </w:r>
      <w:hyperlink w:history="1" r:id="rIdylpz38frbpkgrh2_mttbn">
        <w:r>
          <w:rPr>
            <w:rStyle w:val="Hyperlink"/>
            <w:rFonts w:ascii="Times New Roman" w:cs="Times New Roman" w:eastAsia="Times New Roman" w:hAnsi="Times New Roman"/>
            <w:sz w:val="24"/>
            <w:szCs w:val="24"/>
          </w:rPr>
          <w:t xml:space="preserve">Bakırköy 8. Asliye Ticaret Mahkemesi, E. 2024/159, K. 2025/240, T. 13.03.2025</w:t>
        </w:r>
      </w:hyperlink>
    </w:p>
    <w:p>
      <w:pPr>
        <w:pStyle w:val="referenceItemStyle"/>
        <w:tabs>
          <w:tab w:val="left" w:pos="451.3"/>
        </w:tabs>
      </w:pPr>
      <w:r>
        <w:rPr>
          <w:rFonts w:ascii="Times New Roman" w:cs="Times New Roman" w:eastAsia="Times New Roman" w:hAnsi="Times New Roman"/>
          <w:sz w:val="24"/>
          <w:szCs w:val="24"/>
        </w:rPr>
        <w:t xml:space="preserve">22.	</w:t>
      </w:r>
      <w:hyperlink w:history="1" r:id="rIdahj5ozq22f71jvirck7go">
        <w:r>
          <w:rPr>
            <w:rStyle w:val="Hyperlink"/>
            <w:rFonts w:ascii="Times New Roman" w:cs="Times New Roman" w:eastAsia="Times New Roman" w:hAnsi="Times New Roman"/>
            <w:sz w:val="24"/>
            <w:szCs w:val="24"/>
          </w:rPr>
          <w:t xml:space="preserve">İstanbul Anadolu 3. Asliye Ticaret Mahkemesi, E. 2024/451, K. 2025/446, T. 29.05.2025</w:t>
        </w:r>
      </w:hyperlink>
    </w:p>
    <w:p>
      <w:pPr>
        <w:pStyle w:val="referenceItemStyle"/>
        <w:tabs>
          <w:tab w:val="left" w:pos="451.3"/>
        </w:tabs>
      </w:pPr>
      <w:r>
        <w:rPr>
          <w:rFonts w:ascii="Times New Roman" w:cs="Times New Roman" w:eastAsia="Times New Roman" w:hAnsi="Times New Roman"/>
          <w:sz w:val="24"/>
          <w:szCs w:val="24"/>
        </w:rPr>
        <w:t xml:space="preserve">23.	</w:t>
      </w:r>
      <w:hyperlink w:history="1" r:id="rIdmf3czbii15thqj3snscy6">
        <w:r>
          <w:rPr>
            <w:rStyle w:val="Hyperlink"/>
            <w:rFonts w:ascii="Times New Roman" w:cs="Times New Roman" w:eastAsia="Times New Roman" w:hAnsi="Times New Roman"/>
            <w:sz w:val="24"/>
            <w:szCs w:val="24"/>
          </w:rPr>
          <w:t xml:space="preserve">İstanbul 3. Asliye Ticaret Mahkemesi, E. 2023/726, K. 2025/24, T. 15.01.2025</w:t>
        </w:r>
      </w:hyperlink>
    </w:p>
    <w:p>
      <w:pPr>
        <w:pStyle w:val="referenceItemStyle"/>
        <w:tabs>
          <w:tab w:val="left" w:pos="451.3"/>
        </w:tabs>
      </w:pPr>
      <w:r>
        <w:rPr>
          <w:rFonts w:ascii="Times New Roman" w:cs="Times New Roman" w:eastAsia="Times New Roman" w:hAnsi="Times New Roman"/>
          <w:sz w:val="24"/>
          <w:szCs w:val="24"/>
        </w:rPr>
        <w:t xml:space="preserve">24.	</w:t>
      </w:r>
      <w:hyperlink w:history="1" r:id="rIdegbv8ur1u-mwkm6wbk_cy">
        <w:r>
          <w:rPr>
            <w:rStyle w:val="Hyperlink"/>
            <w:rFonts w:ascii="Times New Roman" w:cs="Times New Roman" w:eastAsia="Times New Roman" w:hAnsi="Times New Roman"/>
            <w:sz w:val="24"/>
            <w:szCs w:val="24"/>
          </w:rPr>
          <w:t xml:space="preserve">İstanbul 11. Asliye Ticaret Mahkemesi, E. 2018/1080, K. 2021/66, T. 03.02.2021</w:t>
        </w:r>
      </w:hyperlink>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PageNumberStyle"/>
      <w:jc w:val="center"/>
    </w:pPr>
    <w:fldSimple w:instr="PAGE">
      <w:r>
        <w:t xml:space="preserve">1</w:t>
      </w:r>
    </w:fldSimple>
    <w:r>
      <w:rPr>
        <w:rFonts w:ascii="Times New Roman" w:cs="Times New Roman" w:eastAsia="Times New Roman" w:hAnsi="Times New Roman"/>
        <w:sz w:val="20"/>
        <w:szCs w:val="20"/>
      </w:rPr>
      <w:t xml:space="preserve"> / </w:t>
    </w:r>
    <w:fldSimple w:instr="NUMPAGES">
      <w:r>
        <w:t xml:space="preserve">1</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rPr>
        <w:rFonts w:ascii="Times New Roman" w:cs="Times New Roman" w:eastAsia="Times New Roman" w:hAnsi="Times New Roman"/>
      </w:rPr>
    </w:lvl>
    <w:lvl w:ilvl="1" w15:tentative="1">
      <w:start w:val="1"/>
      <w:numFmt w:val="lowerLetter"/>
      <w:lvlText w:val="%2)"/>
      <w:lvlJc w:val="start"/>
      <w:pPr>
        <w:ind w:left="1440" w:hanging="360"/>
      </w:pPr>
      <w:rPr>
        <w:rFonts w:ascii="Times New Roman" w:cs="Times New Roman" w:eastAsia="Times New Roman" w:hAnsi="Times New Roman"/>
      </w:rPr>
    </w:lvl>
    <w:lvl w:ilvl="2" w15:tentative="1">
      <w:start w:val="1"/>
      <w:numFmt w:val="lowerRoman"/>
      <w:lvlText w:val="%3."/>
      <w:lvlJc w:val="start"/>
      <w:pPr>
        <w:ind w:left="2160" w:hanging="360"/>
      </w:pPr>
      <w:rPr>
        <w:rFonts w:ascii="Times New Roman" w:cs="Times New Roman" w:eastAsia="Times New Roman" w:hAnsi="Times New Roman"/>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suppressSpacingAtTopOfPage/>
    <w:suppressSpBfAfterPgBrk/>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76" w:after="120" w:lineRule="auto"/>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ParagraphStyle">
    <w:name w:val="Default Paragraph"/>
    <w:basedOn w:val="Normal"/>
    <w:qFormat/>
    <w:pPr>
      <w:spacing w:line="276" w:after="120" w:lineRule="auto"/>
      <w:jc w:val="both"/>
    </w:pPr>
    <w:rPr>
      <w:rFonts w:ascii="Times New Roman" w:cs="Times New Roman" w:eastAsia="Times New Roman" w:hAnsi="Times New Roman"/>
      <w:sz w:val="24"/>
      <w:szCs w:val="24"/>
    </w:rPr>
  </w:style>
  <w:style w:type="paragraph" w:styleId="referenceTitleStyle">
    <w:name w:val="Reference Title"/>
    <w:basedOn w:val="Normal"/>
    <w:pPr>
      <w:spacing w:line="276" w:after="150" w:before="200" w:lineRule="auto"/>
      <w:jc w:val="left"/>
    </w:pPr>
    <w:rPr>
      <w:rFonts w:ascii="Times New Roman" w:cs="Times New Roman" w:eastAsia="Times New Roman" w:hAnsi="Times New Roman"/>
      <w:b/>
      <w:bCs/>
      <w:sz w:val="24"/>
      <w:szCs w:val="24"/>
    </w:rPr>
  </w:style>
  <w:style w:type="paragraph" w:styleId="referenceSectionTitleStyle">
    <w:name w:val="Reference Section Title"/>
    <w:basedOn w:val="Normal"/>
    <w:pPr>
      <w:spacing w:line="276" w:after="100" w:before="150" w:lineRule="auto"/>
      <w:jc w:val="left"/>
    </w:pPr>
    <w:rPr>
      <w:rFonts w:ascii="Times New Roman" w:cs="Times New Roman" w:eastAsia="Times New Roman" w:hAnsi="Times New Roman"/>
      <w:b/>
      <w:bCs/>
      <w:sz w:val="24"/>
      <w:szCs w:val="24"/>
    </w:rPr>
  </w:style>
  <w:style w:type="paragraph" w:styleId="referenceItemStyle">
    <w:name w:val="Reference Item"/>
    <w:basedOn w:val="Normal"/>
    <w:pPr>
      <w:spacing w:line="276" w:after="60" w:lineRule="auto"/>
      <w:jc w:val="both"/>
    </w:pPr>
    <w:rPr>
      <w:rFonts w:ascii="Times New Roman" w:cs="Times New Roman" w:eastAsia="Times New Roman" w:hAnsi="Times New Roman"/>
      <w:sz w:val="24"/>
      <w:szCs w:val="24"/>
    </w:rPr>
  </w:style>
  <w:style w:type="paragraph" w:styleId="footerPageNumberStyle">
    <w:name w:val="Footer Page Number"/>
    <w:basedOn w:val="Normal"/>
    <w:rPr>
      <w:rFonts w:ascii="Times New Roman" w:cs="Times New Roman" w:eastAsia="Times New Roman" w:hAnsi="Times New Roman"/>
      <w:sz w:val="20"/>
      <w:szCs w:val="20"/>
    </w:rPr>
  </w:style>
  <w:style w:type="paragraph" w:styleId="heading1Style">
    <w:name w:val="Heading 1"/>
    <w:basedOn w:val="Normal"/>
    <w:qFormat/>
    <w:pPr>
      <w:spacing w:line="276" w:before="240" w:after="120" w:lineRule="auto"/>
      <w:jc w:val="left"/>
      <w:outlineLvl w:val="0"/>
    </w:pPr>
    <w:rPr>
      <w:rFonts w:ascii="Times New Roman" w:cs="Times New Roman" w:eastAsia="Times New Roman" w:hAnsi="Times New Roman"/>
      <w:b/>
      <w:bCs/>
      <w:sz w:val="24"/>
      <w:szCs w:val="24"/>
    </w:rPr>
  </w:style>
  <w:style w:type="paragraph" w:styleId="heading2Style">
    <w:name w:val="Heading 2"/>
    <w:basedOn w:val="Normal"/>
    <w:qFormat/>
    <w:pPr>
      <w:spacing w:line="276" w:before="220" w:after="110" w:lineRule="auto"/>
      <w:jc w:val="left"/>
      <w:outlineLvl w:val="1"/>
    </w:pPr>
    <w:rPr>
      <w:rFonts w:ascii="Times New Roman" w:cs="Times New Roman" w:eastAsia="Times New Roman" w:hAnsi="Times New Roman"/>
      <w:b/>
      <w:bCs/>
      <w:sz w:val="24"/>
      <w:szCs w:val="24"/>
    </w:rPr>
  </w:style>
  <w:style w:type="paragraph" w:styleId="heading3Style">
    <w:name w:val="Heading 3"/>
    <w:basedOn w:val="Normal"/>
    <w:qFormat/>
    <w:pPr>
      <w:spacing w:line="276" w:before="200" w:after="100" w:lineRule="auto"/>
      <w:jc w:val="left"/>
      <w:outlineLvl w:val="2"/>
    </w:pPr>
    <w:rPr>
      <w:rFonts w:ascii="Times New Roman" w:cs="Times New Roman" w:eastAsia="Times New Roman" w:hAnsi="Times New Roman"/>
      <w:b/>
      <w:bCs/>
      <w:sz w:val="24"/>
      <w:szCs w:val="24"/>
    </w:rPr>
  </w:style>
  <w:style w:type="paragraph" w:styleId="heading4Style">
    <w:name w:val="Heading 4"/>
    <w:basedOn w:val="Normal"/>
    <w:qFormat/>
    <w:pPr>
      <w:spacing w:line="276" w:before="180" w:after="90" w:lineRule="auto"/>
      <w:jc w:val="left"/>
      <w:outlineLvl w:val="3"/>
    </w:pPr>
    <w:rPr>
      <w:rFonts w:ascii="Times New Roman" w:cs="Times New Roman" w:eastAsia="Times New Roman" w:hAnsi="Times New Roman"/>
      <w:b/>
      <w:bCs/>
      <w:sz w:val="24"/>
      <w:szCs w:val="24"/>
    </w:rPr>
  </w:style>
  <w:style w:type="paragraph" w:styleId="heading5Style">
    <w:name w:val="Heading 5"/>
    <w:basedOn w:val="Normal"/>
    <w:qFormat/>
    <w:pPr>
      <w:spacing w:line="276" w:before="160" w:after="80" w:lineRule="auto"/>
      <w:jc w:val="left"/>
      <w:outlineLvl w:val="4"/>
    </w:pPr>
    <w:rPr>
      <w:rFonts w:ascii="Times New Roman" w:cs="Times New Roman" w:eastAsia="Times New Roman" w:hAnsi="Times New Roman"/>
      <w:b/>
      <w:bCs/>
      <w:sz w:val="24"/>
      <w:szCs w:val="24"/>
    </w:rPr>
  </w:style>
  <w:style w:type="paragraph" w:styleId="heading6Style">
    <w:name w:val="Heading 6"/>
    <w:basedOn w:val="Normal"/>
    <w:qFormat/>
    <w:pPr>
      <w:spacing w:line="276" w:before="140" w:after="70" w:lineRule="auto"/>
      <w:jc w:val="left"/>
      <w:outlineLvl w:val="5"/>
    </w:pPr>
    <w:rPr>
      <w:rFonts w:ascii="Times New Roman" w:cs="Times New Roman" w:eastAsia="Times New Roman" w:hAnsi="Times New Roman"/>
      <w:b/>
      <w:bCs/>
      <w:sz w:val="24"/>
      <w:szCs w:val="24"/>
    </w:rPr>
  </w:style>
  <w:style w:type="paragraph" w:styleId="blockquoteStyle">
    <w:name w:val="Blockquote"/>
    <w:basedOn w:val="Normal"/>
    <w:pPr>
      <w:spacing w:line="276" w:before="100" w:after="100" w:lineRule="auto"/>
      <w:ind w:left="720" w:right="720"/>
      <w:jc w:val="both"/>
    </w:pPr>
    <w:rPr>
      <w:rFonts w:ascii="Times New Roman" w:cs="Times New Roman" w:eastAsia="Times New Roman" w:hAnsi="Times New Roman"/>
      <w:i/>
      <w:iCs/>
      <w:color w:val="595959"/>
    </w:rPr>
  </w:style>
  <w:style w:type="character" w:styleId="Hyperlink">
    <w:name w:val="Hyperlink"/>
    <w:basedOn w:val="DefaultParagraphFont"/>
    <w:uiPriority w:val="99"/>
    <w:unhideWhenUsed/>
    <w:rPr>
      <w:color w:val="0563C1"/>
      <w:u w:val="single" w:color="0563C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qnaspsmrna5xmhkvpw_ze" Type="http://schemas.openxmlformats.org/officeDocument/2006/relationships/hyperlink" Target="https://app.dejure.ai/dokuman/5ff5b4c3-a657-452c-8e1c-8b2a4d56794c?type=ictihat" TargetMode="External"/><Relationship Id="rIdkq4jt6spdsuokx2dhjgbf" Type="http://schemas.openxmlformats.org/officeDocument/2006/relationships/hyperlink" Target="https://app.dejure.ai/dokuman/871f4421-83c5-4006-afff-04f6963f74f5?type=ictihat" TargetMode="External"/><Relationship Id="rIdycva1mbutmoblqbyeeic9" Type="http://schemas.openxmlformats.org/officeDocument/2006/relationships/hyperlink" Target="https://app.dejure.ai/dokuman/463369b6-6369-47ce-a50b-2de937037a15?type=ictihat" TargetMode="External"/><Relationship Id="rIdz6a56dlt5nyee8o4k4ixi" Type="http://schemas.openxmlformats.org/officeDocument/2006/relationships/hyperlink" Target="https://app.dejure.ai/dokuman/8a6da232-3387-419a-8e7a-882930224883?type=ictihat" TargetMode="External"/><Relationship Id="rIdalmabakkq8mj8n8w8p8jp" Type="http://schemas.openxmlformats.org/officeDocument/2006/relationships/hyperlink" Target="https://app.dejure.ai/dokuman/94f6d3d8-adf7-4c33-a403-d2e483cc5109?type=ictihat" TargetMode="External"/><Relationship Id="rIdjdibervpdumsiligprvjb" Type="http://schemas.openxmlformats.org/officeDocument/2006/relationships/hyperlink" Target="https://app.dejure.ai/dokuman/05286ea4-ac7c-45f0-915c-a85936ffe6ee?type=ictihat" TargetMode="External"/><Relationship Id="rId0kz5zigtb6ey_o0ljgfft" Type="http://schemas.openxmlformats.org/officeDocument/2006/relationships/hyperlink" Target="https://app.dejure.ai/dokuman/8fbb1f63-dd17-4b9a-baf8-eba4c31d9cc9?type=ictihat" TargetMode="External"/><Relationship Id="rIdp_qtllsitw80teikvbwe_" Type="http://schemas.openxmlformats.org/officeDocument/2006/relationships/hyperlink" Target="https://app.dejure.ai/dokuman/22c02407-e748-4166-82a5-f26942f8c880?type=ictihat" TargetMode="External"/><Relationship Id="rIdfcqcsay-bciyto46kz0h6" Type="http://schemas.openxmlformats.org/officeDocument/2006/relationships/hyperlink" Target="https://app.dejure.ai/dokuman/5b72d16f-e1b8-46fc-bf8a-b1b2d16003a2?type=ictihat" TargetMode="External"/><Relationship Id="rIdssxwhaxzkoknmh7zdkub8" Type="http://schemas.openxmlformats.org/officeDocument/2006/relationships/hyperlink" Target="https://app.dejure.ai/dokuman/8905bcef-05bc-4b9b-97b9-1ff2612a7272?type=ictihat" TargetMode="External"/><Relationship Id="rIdocsho18lswrv3nnedzsgu" Type="http://schemas.openxmlformats.org/officeDocument/2006/relationships/hyperlink" Target="https://app.dejure.ai/dokuman/4bfc0410-21f2-42b5-993b-cd3846200dbf?type=ictihat" TargetMode="External"/><Relationship Id="rIdbfoffzhgqqatavpbld21a" Type="http://schemas.openxmlformats.org/officeDocument/2006/relationships/hyperlink" Target="https://app.dejure.ai/dokuman/0e7df51e-0d18-407a-8b42-9065bf0f2856?type=ictihat" TargetMode="External"/><Relationship Id="rIdxqptqte4zpotfejdyedp8" Type="http://schemas.openxmlformats.org/officeDocument/2006/relationships/hyperlink" Target="https://app.dejure.ai/dokuman/b616493d-48a2-46cd-b698-86cf7ce28940?type=ictihat" TargetMode="External"/><Relationship Id="rIdf-qefsio3x-fvzdg9iqr6" Type="http://schemas.openxmlformats.org/officeDocument/2006/relationships/hyperlink" Target="https://app.dejure.ai/dokuman/032acbdc-a245-4870-ae9a-2301963bff77?type=ictihat" TargetMode="External"/><Relationship Id="rIdewvg56kvhvzlx70hhrijy" Type="http://schemas.openxmlformats.org/officeDocument/2006/relationships/hyperlink" Target="https://app.dejure.ai/dokuman/f3efbdc5-5154-44a6-9ab1-09c074e63b64?type=ictihat" TargetMode="External"/><Relationship Id="rIdvdiqykr0mk8qzqmc1eqev" Type="http://schemas.openxmlformats.org/officeDocument/2006/relationships/hyperlink" Target="https://app.dejure.ai/dokuman/e74fc12a-7bf1-488e-9c38-2f1e5c3657fe?type=ictihat" TargetMode="External"/><Relationship Id="rIddoeh3o9mpz_oscqtzj6m2" Type="http://schemas.openxmlformats.org/officeDocument/2006/relationships/hyperlink" Target="https://app.dejure.ai/dokuman/851bfe23-002a-4392-ba7e-f9ae5f3f6890?type=ictihat" TargetMode="External"/><Relationship Id="rId71t2gujbgljerdtgqbixb" Type="http://schemas.openxmlformats.org/officeDocument/2006/relationships/hyperlink" Target="https://app.dejure.ai/dokuman/ca07b821-c9e1-4da5-a7c5-41354864b9f6?type=ictihat" TargetMode="External"/><Relationship Id="rIdykeimzxfxkyueqteuszey" Type="http://schemas.openxmlformats.org/officeDocument/2006/relationships/hyperlink" Target="https://app.dejure.ai/dokuman/eaf7df1b-5661-4d55-8e46-1625523db512?type=ictihat" TargetMode="External"/><Relationship Id="rIdv7ool5ui97fczumfh6kaq" Type="http://schemas.openxmlformats.org/officeDocument/2006/relationships/hyperlink" Target="https://app.dejure.ai/dokuman/9a7e4dc3-eaae-4a56-b07e-3a88b6c96fba?type=ictihat" TargetMode="External"/><Relationship Id="rIdylpz38frbpkgrh2_mttbn" Type="http://schemas.openxmlformats.org/officeDocument/2006/relationships/hyperlink" Target="https://app.dejure.ai/dokuman/31abef56-6bd4-4e24-8274-c7f22ccc37fb?type=ictihat" TargetMode="External"/><Relationship Id="rIdahj5ozq22f71jvirck7go" Type="http://schemas.openxmlformats.org/officeDocument/2006/relationships/hyperlink" Target="https://app.dejure.ai/dokuman/92214ab2-a850-4151-8125-ccb712ff5410?type=ictihat" TargetMode="External"/><Relationship Id="rIdmf3czbii15thqj3snscy6" Type="http://schemas.openxmlformats.org/officeDocument/2006/relationships/hyperlink" Target="https://app.dejure.ai/dokuman/98b751ae-cdb0-4eff-9b0f-e39c7d7f206e?type=ictihat" TargetMode="External"/><Relationship Id="rIdegbv8ur1u-mwkm6wbk_cy" Type="http://schemas.openxmlformats.org/officeDocument/2006/relationships/hyperlink" Target="https://app.dejure.ai/dokuman/61935c1a-d82b-47bf-affa-9e16e825e1b9?type=ictihat" TargetMode="External"/><Relationship Id="rId3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Dilekçe Raporu</dc:title>
  <dc:creator>Un-named</dc:creator>
  <cp:lastModifiedBy>Un-named</cp:lastModifiedBy>
  <cp:revision>1</cp:revision>
  <dcterms:created xsi:type="dcterms:W3CDTF">2026-10-01T19:55:04.117Z</dcterms:created>
  <dcterms:modified xsi:type="dcterms:W3CDTF">2026-10-01T19:55:04.117Z</dcterms:modified>
</cp:coreProperties>
</file>

<file path=docProps/custom.xml><?xml version="1.0" encoding="utf-8"?>
<Properties xmlns="http://schemas.openxmlformats.org/officeDocument/2006/custom-properties" xmlns:vt="http://schemas.openxmlformats.org/officeDocument/2006/docPropsVTypes"/>
</file>