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before="100" w:after="200"/>
        <w:jc w:val="center"/>
        <w:rPr>
          <w:rFonts w:ascii="Times New Roman" w:hAnsi="Times New Roman"/>
          <w:sz w:val="20"/>
          <w:szCs w:val="20"/>
        </w:rPr>
      </w:pPr>
      <w:r>
        <w:rPr>
          <w:sz w:val="20"/>
          <w:szCs w:val="20"/>
        </w:rPr>
        <w:t xml:space="preserve"> </w:t>
      </w:r>
      <w:r>
        <w:rPr>
          <w:sz w:val="20"/>
          <w:szCs w:val="20"/>
        </w:rPr>
        <w:t>Dava Dilekçesi Örneği (Metin Olarak)</w:t>
      </w:r>
    </w:p>
    <w:p>
      <w:pPr>
        <w:pStyle w:val="BodyText"/>
        <w:spacing w:before="100" w:after="200"/>
        <w:jc w:val="center"/>
        <w:rPr>
          <w:b/>
          <w:bCs/>
          <w:sz w:val="20"/>
          <w:szCs w:val="20"/>
        </w:rPr>
      </w:pPr>
      <w:r>
        <w:rPr>
          <w:b/>
          <w:bCs/>
          <w:sz w:val="20"/>
          <w:szCs w:val="20"/>
        </w:rPr>
        <w:t>TRABZON NÖBETÇİ ASLİYE HUKUK MAHKEMESİNE</w:t>
      </w:r>
    </w:p>
    <w:p>
      <w:pPr>
        <w:pStyle w:val="BodyText"/>
        <w:spacing w:before="100" w:after="200"/>
        <w:jc w:val="center"/>
        <w:rPr>
          <w:b/>
          <w:bCs/>
          <w:sz w:val="20"/>
          <w:szCs w:val="20"/>
        </w:rPr>
      </w:pPr>
      <w:r>
        <w:rPr>
          <w:b/>
          <w:bCs/>
          <w:sz w:val="20"/>
          <w:szCs w:val="20"/>
        </w:rPr>
        <w:t>İHTİYATİ TEDBİR TALEPLİDİR.</w:t>
      </w:r>
    </w:p>
    <w:p>
      <w:pPr>
        <w:pStyle w:val="BodyText"/>
        <w:spacing w:before="100" w:after="200"/>
        <w:jc w:val="center"/>
        <w:rPr>
          <w:b/>
          <w:bCs/>
          <w:sz w:val="20"/>
          <w:szCs w:val="20"/>
        </w:rPr>
      </w:pPr>
      <w:r>
        <w:rPr>
          <w:b/>
          <w:bCs/>
          <w:sz w:val="20"/>
          <w:szCs w:val="20"/>
        </w:rPr>
        <w:t>DAVACI : Adı Soyadı (T.C. Kimlik No: ....................)</w:t>
      </w:r>
    </w:p>
    <w:p>
      <w:pPr>
        <w:pStyle w:val="BodyText"/>
        <w:spacing w:before="100" w:after="200"/>
        <w:jc w:val="center"/>
        <w:rPr>
          <w:b/>
          <w:bCs/>
          <w:sz w:val="20"/>
          <w:szCs w:val="20"/>
        </w:rPr>
      </w:pPr>
      <w:r>
        <w:rPr>
          <w:b/>
          <w:bCs/>
          <w:sz w:val="20"/>
          <w:szCs w:val="20"/>
        </w:rPr>
        <w:t>ADRES : ................................................................</w:t>
      </w:r>
    </w:p>
    <w:p>
      <w:pPr>
        <w:pStyle w:val="BodyText"/>
        <w:spacing w:before="100" w:after="200"/>
        <w:jc w:val="center"/>
        <w:rPr>
          <w:b/>
          <w:bCs/>
          <w:sz w:val="20"/>
          <w:szCs w:val="20"/>
        </w:rPr>
      </w:pPr>
      <w:r>
        <w:rPr>
          <w:b/>
          <w:bCs/>
          <w:sz w:val="20"/>
          <w:szCs w:val="20"/>
        </w:rPr>
        <w:t>VEKİLİ : Av. Ali Kemal ŞENGÜL</w:t>
      </w:r>
    </w:p>
    <w:p>
      <w:pPr>
        <w:pStyle w:val="BodyText"/>
        <w:spacing w:before="100" w:after="200"/>
        <w:jc w:val="center"/>
        <w:rPr>
          <w:b/>
          <w:bCs/>
          <w:sz w:val="20"/>
          <w:szCs w:val="20"/>
        </w:rPr>
      </w:pPr>
      <w:r>
        <w:rPr>
          <w:b/>
          <w:bCs/>
          <w:sz w:val="20"/>
          <w:szCs w:val="20"/>
        </w:rPr>
        <w:t>ADRES : Kemerkaya Mah. Gazipaşa Cad. No:... Ortahisar / TRABZON</w:t>
      </w:r>
    </w:p>
    <w:p>
      <w:pPr>
        <w:pStyle w:val="BodyText"/>
        <w:spacing w:before="100" w:after="200"/>
        <w:jc w:val="center"/>
        <w:rPr>
          <w:b/>
          <w:bCs/>
          <w:sz w:val="20"/>
          <w:szCs w:val="20"/>
        </w:rPr>
      </w:pPr>
      <w:r>
        <w:rPr>
          <w:b/>
          <w:bCs/>
          <w:sz w:val="20"/>
          <w:szCs w:val="20"/>
        </w:rPr>
        <w:t>DAVALI : Trabzon Büyükşehir Belediye Başkanlığı (veya İlgili Kurum)</w:t>
      </w:r>
    </w:p>
    <w:p>
      <w:pPr>
        <w:pStyle w:val="BodyText"/>
        <w:spacing w:before="100" w:after="200"/>
        <w:jc w:val="center"/>
        <w:rPr>
          <w:b/>
          <w:bCs/>
          <w:sz w:val="20"/>
          <w:szCs w:val="20"/>
        </w:rPr>
      </w:pPr>
      <w:r>
        <w:rPr>
          <w:b/>
          <w:bCs/>
          <w:sz w:val="20"/>
          <w:szCs w:val="20"/>
        </w:rPr>
        <w:t>ADRES : ................................................................</w:t>
      </w:r>
    </w:p>
    <w:p>
      <w:pPr>
        <w:pStyle w:val="BodyText"/>
        <w:spacing w:before="100" w:after="200"/>
        <w:jc w:val="center"/>
        <w:rPr>
          <w:b/>
          <w:bCs/>
          <w:sz w:val="20"/>
          <w:szCs w:val="20"/>
        </w:rPr>
      </w:pPr>
      <w:r>
        <w:rPr>
          <w:b/>
          <w:bCs/>
          <w:sz w:val="20"/>
          <w:szCs w:val="20"/>
        </w:rPr>
        <w:t>DAVA DEĞERİ : 10.000,00 TL (HMK m. 107 uyarınca belirsiz alacak davası olarak harca esas değerdir. Taşınmazın gerçek bedeli bilirkişi incelemesi neticesinde belirlendiğinde alacak miktarı artırılacaktır.)</w:t>
      </w:r>
    </w:p>
    <w:p>
      <w:pPr>
        <w:pStyle w:val="BodyText"/>
        <w:spacing w:before="100" w:after="200"/>
        <w:jc w:val="center"/>
        <w:rPr>
          <w:b/>
          <w:bCs/>
          <w:sz w:val="20"/>
          <w:szCs w:val="20"/>
        </w:rPr>
      </w:pPr>
      <w:r>
        <w:rPr>
          <w:b/>
          <w:bCs/>
          <w:sz w:val="20"/>
          <w:szCs w:val="20"/>
        </w:rPr>
        <w:t>KONU : Kamulaştırmasız fiili el atma sebebiyle taşınmaz bedelinin yasal faiziyle birlikte tahsili, dava sonuna kadar müvekkil mülkiyetinin korunması istemidir.</w:t>
      </w:r>
    </w:p>
    <w:p>
      <w:pPr>
        <w:pStyle w:val="BodyText"/>
        <w:spacing w:before="100" w:after="200"/>
        <w:jc w:val="center"/>
        <w:rPr>
          <w:b/>
          <w:bCs/>
          <w:sz w:val="20"/>
          <w:szCs w:val="20"/>
        </w:rPr>
      </w:pPr>
      <w:r>
        <w:rPr>
          <w:b/>
          <w:bCs/>
          <w:sz w:val="20"/>
          <w:szCs w:val="20"/>
        </w:rPr>
        <w:t>AÇIKLAMALAR :</w:t>
      </w:r>
    </w:p>
    <w:p>
      <w:pPr>
        <w:pStyle w:val="BodyText"/>
        <w:numPr>
          <w:ilvl w:val="0"/>
          <w:numId w:val="1"/>
        </w:numPr>
        <w:tabs>
          <w:tab w:val="clear" w:pos="720"/>
          <w:tab w:val="left" w:pos="0" w:leader="none"/>
        </w:tabs>
        <w:spacing w:before="100" w:after="200"/>
        <w:ind w:hanging="283" w:start="709"/>
        <w:jc w:val="center"/>
        <w:rPr>
          <w:b/>
          <w:bCs/>
          <w:sz w:val="20"/>
          <w:szCs w:val="20"/>
        </w:rPr>
      </w:pPr>
      <w:r>
        <w:rPr>
          <w:b/>
          <w:bCs/>
          <w:sz w:val="20"/>
          <w:szCs w:val="20"/>
        </w:rPr>
        <w:t>Müvekkil, Trabzon ili, Ortahisar ilçesi, .................... Mahallesi, ........ Ada, ........ Parsel sayılı taşınmazın malikidir (veya paydaşıdır).</w:t>
      </w:r>
    </w:p>
    <w:p>
      <w:pPr>
        <w:pStyle w:val="BodyText"/>
        <w:numPr>
          <w:ilvl w:val="0"/>
          <w:numId w:val="1"/>
        </w:numPr>
        <w:tabs>
          <w:tab w:val="clear" w:pos="720"/>
          <w:tab w:val="left" w:pos="0" w:leader="none"/>
        </w:tabs>
        <w:spacing w:before="100" w:after="200"/>
        <w:ind w:hanging="283" w:start="709"/>
        <w:jc w:val="center"/>
        <w:rPr>
          <w:b/>
          <w:bCs/>
          <w:sz w:val="20"/>
          <w:szCs w:val="20"/>
        </w:rPr>
      </w:pPr>
      <w:r>
        <w:rPr>
          <w:b/>
          <w:bCs/>
          <w:sz w:val="20"/>
          <w:szCs w:val="20"/>
        </w:rPr>
        <w:t>Davalı idare, söz konusu taşınmaz hakkında 2942 sayılı Kamulaştırma Kanunu kapsamında herhangi bir resmi kamulaştırma kararı almamıştır. Ayrıca müvekkile hiçbir bedel ödemesi yapmamıştır.</w:t>
      </w:r>
    </w:p>
    <w:p>
      <w:pPr>
        <w:pStyle w:val="BodyText"/>
        <w:numPr>
          <w:ilvl w:val="0"/>
          <w:numId w:val="1"/>
        </w:numPr>
        <w:tabs>
          <w:tab w:val="clear" w:pos="720"/>
          <w:tab w:val="left" w:pos="0" w:leader="none"/>
        </w:tabs>
        <w:spacing w:before="100" w:after="200"/>
        <w:ind w:hanging="283" w:start="709"/>
        <w:jc w:val="center"/>
        <w:rPr>
          <w:b/>
          <w:bCs/>
          <w:sz w:val="20"/>
          <w:szCs w:val="20"/>
        </w:rPr>
      </w:pPr>
      <w:r>
        <w:rPr>
          <w:b/>
          <w:bCs/>
          <w:sz w:val="20"/>
          <w:szCs w:val="20"/>
        </w:rPr>
        <w:t>Buna rağmen davalı idare, müvekkilin rızası hilafına iş makineleriyle taşınmaza fiilen el atmıştır. Taşınmaz üzerinden imar yolu geçirmiş ve asfalt dökerek kamu hizmetine tahsis etmiştir.</w:t>
      </w:r>
    </w:p>
    <w:p>
      <w:pPr>
        <w:pStyle w:val="BodyText"/>
        <w:numPr>
          <w:ilvl w:val="0"/>
          <w:numId w:val="1"/>
        </w:numPr>
        <w:tabs>
          <w:tab w:val="clear" w:pos="720"/>
          <w:tab w:val="left" w:pos="0" w:leader="none"/>
        </w:tabs>
        <w:spacing w:before="100" w:after="200"/>
        <w:ind w:hanging="283" w:start="709"/>
        <w:jc w:val="center"/>
        <w:rPr>
          <w:b/>
          <w:bCs/>
          <w:sz w:val="20"/>
          <w:szCs w:val="20"/>
        </w:rPr>
      </w:pPr>
      <w:r>
        <w:rPr>
          <w:b/>
          <w:bCs/>
          <w:sz w:val="20"/>
          <w:szCs w:val="20"/>
        </w:rPr>
        <w:t>Davalı kurumun bu haksız fiili sebebiyle müvekkilin mülkiyet hakkı tamamen ortadan kalkmıştır. Taşınmazı kullanma, tasarruf etme ve semerelerinden faydalanma imkanı kalmamıştır.</w:t>
      </w:r>
    </w:p>
    <w:p>
      <w:pPr>
        <w:pStyle w:val="BodyText"/>
        <w:numPr>
          <w:ilvl w:val="0"/>
          <w:numId w:val="1"/>
        </w:numPr>
        <w:tabs>
          <w:tab w:val="clear" w:pos="720"/>
          <w:tab w:val="left" w:pos="0" w:leader="none"/>
        </w:tabs>
        <w:spacing w:before="100" w:after="200"/>
        <w:ind w:hanging="283" w:start="709"/>
        <w:jc w:val="center"/>
        <w:rPr>
          <w:b/>
          <w:bCs/>
          <w:sz w:val="20"/>
          <w:szCs w:val="20"/>
        </w:rPr>
      </w:pPr>
      <w:r>
        <w:rPr>
          <w:b/>
          <w:bCs/>
          <w:sz w:val="20"/>
          <w:szCs w:val="20"/>
        </w:rPr>
        <w:t>Yargıtay Hukuk Genel Kurulu kararları doğrultusunda idarenin kamulaştırma yapmaksızın araziye fiilen el koyması haksız fiil niteliğindedir. Bu nedenle taşınmazın el atma tarihindeki değil, dava tarihindeki güncel piyasa rayiç bedelinin tespiti zorunludur.</w:t>
      </w:r>
    </w:p>
    <w:p>
      <w:pPr>
        <w:pStyle w:val="BodyText"/>
        <w:numPr>
          <w:ilvl w:val="0"/>
          <w:numId w:val="1"/>
        </w:numPr>
        <w:tabs>
          <w:tab w:val="clear" w:pos="720"/>
          <w:tab w:val="left" w:pos="0" w:leader="none"/>
        </w:tabs>
        <w:spacing w:before="100" w:after="200"/>
        <w:ind w:hanging="283" w:start="709"/>
        <w:jc w:val="center"/>
        <w:rPr>
          <w:b/>
          <w:bCs/>
          <w:sz w:val="20"/>
          <w:szCs w:val="20"/>
        </w:rPr>
      </w:pPr>
      <w:r>
        <w:rPr>
          <w:b/>
          <w:bCs/>
          <w:sz w:val="20"/>
          <w:szCs w:val="20"/>
        </w:rPr>
        <w:t>Açıklanan nedenlerle fazlaya ilişkin haklarımız saklı kalmak kaydıyla, taşınmazın tespit edilecek gerçek bedelinin el atma tarihinden itibaren işleyecek yasal faiziyle tahsilini talep etme zorunluluğu doğmuştur.</w:t>
      </w:r>
    </w:p>
    <w:p>
      <w:pPr>
        <w:pStyle w:val="BodyText"/>
        <w:spacing w:before="100" w:after="200"/>
        <w:jc w:val="center"/>
        <w:rPr>
          <w:b/>
          <w:bCs/>
          <w:sz w:val="20"/>
          <w:szCs w:val="20"/>
        </w:rPr>
      </w:pPr>
      <w:r>
        <w:rPr>
          <w:b/>
          <w:bCs/>
          <w:sz w:val="20"/>
          <w:szCs w:val="20"/>
        </w:rPr>
        <w:t>HUKUKİ SEBEPLER : Anayasa m. 35, 46; 2942 sayılı Kamulaştırma Kanunu; HMK m. 107, TMK ve ilgili yasal mevzuat hükümleri.</w:t>
      </w:r>
    </w:p>
    <w:p>
      <w:pPr>
        <w:pStyle w:val="BodyText"/>
        <w:spacing w:before="100" w:after="200"/>
        <w:jc w:val="center"/>
        <w:rPr>
          <w:b/>
          <w:bCs/>
          <w:sz w:val="20"/>
          <w:szCs w:val="20"/>
        </w:rPr>
      </w:pPr>
      <w:r>
        <w:rPr>
          <w:b/>
          <w:bCs/>
          <w:sz w:val="20"/>
          <w:szCs w:val="20"/>
        </w:rPr>
        <w:t>HUKUKİ DELİLLER : Tapu kaydı, imar durumu belgeleri, kadastro krokisi, mahallinde yapılacak keşif, bilirkişi incelemesi, emsal satış bedelleri, belediye encümen kararları, tanık beyanları ve her türlü yasal delil.</w:t>
      </w:r>
    </w:p>
    <w:p>
      <w:pPr>
        <w:pStyle w:val="BodyText"/>
        <w:spacing w:before="100" w:after="200"/>
        <w:jc w:val="center"/>
        <w:rPr>
          <w:b/>
          <w:bCs/>
          <w:sz w:val="20"/>
          <w:szCs w:val="20"/>
        </w:rPr>
      </w:pPr>
      <w:r>
        <w:rPr>
          <w:b/>
          <w:bCs/>
          <w:sz w:val="20"/>
          <w:szCs w:val="20"/>
        </w:rPr>
        <w:t>SONUÇ VE İSTEM :</w:t>
      </w:r>
    </w:p>
    <w:p>
      <w:pPr>
        <w:pStyle w:val="BodyText"/>
        <w:spacing w:before="100" w:after="200"/>
        <w:jc w:val="center"/>
        <w:rPr>
          <w:b/>
          <w:bCs/>
          <w:sz w:val="20"/>
          <w:szCs w:val="20"/>
        </w:rPr>
      </w:pPr>
      <w:r>
        <w:rPr>
          <w:b/>
          <w:bCs/>
          <w:sz w:val="20"/>
          <w:szCs w:val="20"/>
        </w:rPr>
        <w:t>Yukarıda arz ve izah olunan nedenlerle;</w:t>
      </w:r>
    </w:p>
    <w:p>
      <w:pPr>
        <w:pStyle w:val="BodyText"/>
        <w:numPr>
          <w:ilvl w:val="0"/>
          <w:numId w:val="2"/>
        </w:numPr>
        <w:tabs>
          <w:tab w:val="clear" w:pos="720"/>
          <w:tab w:val="left" w:pos="0" w:leader="none"/>
        </w:tabs>
        <w:spacing w:before="100" w:after="200"/>
        <w:ind w:hanging="283" w:start="709"/>
        <w:jc w:val="center"/>
        <w:rPr>
          <w:b/>
          <w:bCs/>
          <w:sz w:val="20"/>
          <w:szCs w:val="20"/>
        </w:rPr>
      </w:pPr>
      <w:r>
        <w:rPr>
          <w:b/>
          <w:bCs/>
          <w:sz w:val="20"/>
          <w:szCs w:val="20"/>
        </w:rPr>
        <w:t>Davamızın KABULÜ ile fazlaya ilişkin haklarımız saklı kalmak üzere, şimdilik 10.000,00 TL kamulaştırmasız fiili el atma bedelinin el koyma tarihinden itibaren işleyecek yasal faiziyle davalıdan tahsiline,</w:t>
      </w:r>
    </w:p>
    <w:p>
      <w:pPr>
        <w:pStyle w:val="BodyText"/>
        <w:numPr>
          <w:ilvl w:val="0"/>
          <w:numId w:val="2"/>
        </w:numPr>
        <w:tabs>
          <w:tab w:val="clear" w:pos="720"/>
          <w:tab w:val="left" w:pos="0" w:leader="none"/>
        </w:tabs>
        <w:spacing w:before="100" w:after="200"/>
        <w:ind w:hanging="283" w:start="709"/>
        <w:jc w:val="center"/>
        <w:rPr>
          <w:b/>
          <w:bCs/>
          <w:sz w:val="20"/>
          <w:szCs w:val="20"/>
        </w:rPr>
      </w:pPr>
      <w:r>
        <w:rPr>
          <w:b/>
          <w:bCs/>
          <w:sz w:val="20"/>
          <w:szCs w:val="20"/>
        </w:rPr>
        <w:t>Bilirkişi raporuyla gerçek değer tespit edildiğinde HMK m. 107 gereğince dava değerini artırma hakkımızın saklı tutulmasına,</w:t>
      </w:r>
    </w:p>
    <w:p>
      <w:pPr>
        <w:pStyle w:val="BodyText"/>
        <w:numPr>
          <w:ilvl w:val="0"/>
          <w:numId w:val="2"/>
        </w:numPr>
        <w:tabs>
          <w:tab w:val="clear" w:pos="720"/>
          <w:tab w:val="left" w:pos="0" w:leader="none"/>
        </w:tabs>
        <w:spacing w:before="100" w:after="200"/>
        <w:ind w:hanging="283" w:start="709"/>
        <w:jc w:val="center"/>
        <w:rPr>
          <w:b/>
          <w:bCs/>
          <w:sz w:val="20"/>
          <w:szCs w:val="20"/>
        </w:rPr>
      </w:pPr>
      <w:r>
        <w:rPr>
          <w:b/>
          <w:bCs/>
          <w:sz w:val="20"/>
          <w:szCs w:val="20"/>
        </w:rPr>
        <w:t>Taşınmazın tapu kaydına üçüncü kişilere devrin önlenmesi adına ihtiyati tedbir konulmasına,</w:t>
      </w:r>
    </w:p>
    <w:p>
      <w:pPr>
        <w:pStyle w:val="BodyText"/>
        <w:numPr>
          <w:ilvl w:val="0"/>
          <w:numId w:val="2"/>
        </w:numPr>
        <w:tabs>
          <w:tab w:val="clear" w:pos="720"/>
          <w:tab w:val="left" w:pos="0" w:leader="none"/>
        </w:tabs>
        <w:spacing w:before="100" w:after="200"/>
        <w:ind w:hanging="283" w:start="709"/>
        <w:jc w:val="center"/>
        <w:rPr>
          <w:b/>
          <w:bCs/>
          <w:sz w:val="20"/>
          <w:szCs w:val="20"/>
        </w:rPr>
      </w:pPr>
      <w:r>
        <w:rPr>
          <w:b/>
          <w:bCs/>
          <w:sz w:val="20"/>
          <w:szCs w:val="20"/>
        </w:rPr>
        <w:t>Yargılama giderleri ve vekalet ücretinin davalı kuruma yükletilmesine,</w:t>
      </w:r>
    </w:p>
    <w:p>
      <w:pPr>
        <w:pStyle w:val="BodyText"/>
        <w:numPr>
          <w:ilvl w:val="0"/>
          <w:numId w:val="0"/>
        </w:numPr>
        <w:spacing w:before="100" w:after="200"/>
        <w:ind w:hanging="0" w:start="0"/>
        <w:jc w:val="center"/>
        <w:rPr>
          <w:b/>
          <w:bCs/>
          <w:sz w:val="20"/>
          <w:szCs w:val="20"/>
        </w:rPr>
      </w:pPr>
      <w:r>
        <w:rPr>
          <w:b/>
          <w:bCs/>
          <w:sz w:val="20"/>
          <w:szCs w:val="20"/>
        </w:rPr>
        <w:t>Karar verilmesini vekil eden adına saygılarımla arz ve talep ederim. (Tarih: 24/09/2026)</w:t>
      </w:r>
    </w:p>
    <w:p>
      <w:pPr>
        <w:pStyle w:val="BodyText"/>
        <w:spacing w:before="100" w:after="200"/>
        <w:jc w:val="center"/>
        <w:rPr>
          <w:b/>
          <w:bCs/>
          <w:sz w:val="20"/>
          <w:szCs w:val="20"/>
        </w:rPr>
      </w:pPr>
      <w:r>
        <w:rPr>
          <w:b/>
          <w:bCs/>
          <w:sz w:val="20"/>
          <w:szCs w:val="20"/>
        </w:rPr>
        <w:t>Davacı Vekili</w:t>
      </w:r>
    </w:p>
    <w:p>
      <w:pPr>
        <w:pStyle w:val="BodyText"/>
        <w:spacing w:before="100" w:after="200"/>
        <w:jc w:val="center"/>
        <w:rPr>
          <w:b/>
          <w:bCs/>
          <w:sz w:val="20"/>
          <w:szCs w:val="20"/>
        </w:rPr>
      </w:pPr>
      <w:r>
        <w:rPr>
          <w:b/>
          <w:bCs/>
          <w:sz w:val="20"/>
          <w:szCs w:val="20"/>
        </w:rPr>
        <w:t>Av. Ali Kemal ŞENGÜL</w:t>
      </w:r>
    </w:p>
    <w:p>
      <w:pPr>
        <w:pStyle w:val="BodyText"/>
        <w:spacing w:before="100" w:after="200"/>
        <w:jc w:val="center"/>
        <w:rPr>
          <w:b/>
          <w:bCs/>
          <w:i/>
          <w:sz w:val="20"/>
          <w:szCs w:val="20"/>
        </w:rPr>
      </w:pPr>
      <w:r>
        <w:rPr>
          <w:b/>
          <w:bCs/>
          <w:i/>
          <w:sz w:val="20"/>
          <w:szCs w:val="20"/>
        </w:rPr>
        <w:t>(İmza)</w:t>
      </w:r>
    </w:p>
    <w:p>
      <w:pPr>
        <w:pStyle w:val="Heading3"/>
        <w:spacing w:before="100" w:after="200"/>
        <w:jc w:val="center"/>
        <w:rPr>
          <w:rFonts w:ascii="Times New Roman" w:hAnsi="Times New Roman"/>
          <w:sz w:val="20"/>
          <w:szCs w:val="20"/>
        </w:rPr>
      </w:pPr>
      <w:r>
        <w:rPr>
          <w:sz w:val="20"/>
          <w:szCs w:val="20"/>
        </w:rPr>
      </w:r>
    </w:p>
    <w:sectPr>
      <w:footerReference w:type="even" r:id="rId2"/>
      <w:footerReference w:type="default" r:id="rId3"/>
      <w:footerReference w:type="first" r:id="rId4"/>
      <w:type w:val="nextPage"/>
      <w:pgSz w:w="11906" w:h="16838"/>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20"/>
      <w:jc w:val="center"/>
      <w:rPr/>
    </w:pPr>
    <w:r>
      <w:rPr/>
      <w:fldChar w:fldCharType="begin"/>
    </w:r>
    <w:r>
      <w:rPr/>
      <w:instrText xml:space="preserve"> PAGE </w:instrText>
    </w:r>
    <w:r>
      <w:rPr/>
      <w:fldChar w:fldCharType="separate"/>
    </w:r>
    <w:r>
      <w:rPr/>
      <w:t>2</w:t>
    </w:r>
    <w:r>
      <w:rPr/>
      <w:fldChar w:fldCharType="end"/>
    </w:r>
    <w:r>
      <w:rPr>
        <w:rFonts w:eastAsia="Times New Roman" w:cs="Times New Roman"/>
        <w:sz w:val="20"/>
        <w:szCs w:val="20"/>
      </w:rPr>
      <w:t xml:space="preserve"> </w:t>
    </w:r>
    <w:r>
      <w:rPr>
        <w:rFonts w:eastAsia="Times New Roman" w:cs="Times New Roman"/>
        <w:sz w:val="20"/>
        <w:szCs w:val="20"/>
      </w:rPr>
      <w:t xml:space="preserve">/ </w:t>
    </w:r>
    <w:r>
      <w:rPr/>
      <w:fldChar w:fldCharType="begin"/>
    </w:r>
    <w:r>
      <w:rPr/>
      <w:instrText xml:space="preserve"> NUMPAGES </w:instrText>
    </w:r>
    <w:r>
      <w:rPr/>
      <w:fldChar w:fldCharType="separate"/>
    </w:r>
    <w:r>
      <w:rPr/>
      <w:t>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20"/>
      <w:jc w:val="center"/>
      <w:rPr/>
    </w:pPr>
    <w:r>
      <w:rPr/>
      <w:fldChar w:fldCharType="begin"/>
    </w:r>
    <w:r>
      <w:rPr/>
      <w:instrText xml:space="preserve"> PAGE </w:instrText>
    </w:r>
    <w:r>
      <w:rPr/>
      <w:fldChar w:fldCharType="separate"/>
    </w:r>
    <w:r>
      <w:rPr/>
      <w:t>2</w:t>
    </w:r>
    <w:r>
      <w:rPr/>
      <w:fldChar w:fldCharType="end"/>
    </w:r>
    <w:r>
      <w:rPr>
        <w:rFonts w:eastAsia="Times New Roman" w:cs="Times New Roman"/>
        <w:sz w:val="20"/>
        <w:szCs w:val="20"/>
      </w:rPr>
      <w:t xml:space="preserve"> </w:t>
    </w:r>
    <w:r>
      <w:rPr>
        <w:rFonts w:eastAsia="Times New Roman" w:cs="Times New Roman"/>
        <w:sz w:val="20"/>
        <w:szCs w:val="20"/>
      </w:rPr>
      <w:t xml:space="preserve">/ </w:t>
    </w:r>
    <w:r>
      <w:rPr/>
      <w:fldChar w:fldCharType="begin"/>
    </w:r>
    <w:r>
      <w:rPr/>
      <w:instrText xml:space="preserve"> NUMPAGES </w:instrText>
    </w:r>
    <w:r>
      <w:rPr/>
      <w:fldChar w:fldCharType="separate"/>
    </w:r>
    <w:r>
      <w:rPr/>
      <w:t>2</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tr-TR" w:eastAsia="zh-CN" w:bidi="hi-IN"/>
      </w:rPr>
    </w:rPrDefault>
    <w:pPrDefault>
      <w:pPr>
        <w:suppressAutoHyphens w:val="true"/>
      </w:pPr>
    </w:pPrDefault>
  </w:docDefaults>
  <w:style w:type="paragraph" w:styleId="Normal">
    <w:name w:val="Normal"/>
    <w:pPr>
      <w:widowControl/>
      <w:suppressAutoHyphens w:val="true"/>
      <w:bidi w:val="0"/>
      <w:spacing w:lineRule="auto" w:line="276" w:before="0" w:after="120"/>
      <w:jc w:val="both"/>
    </w:pPr>
    <w:rPr>
      <w:rFonts w:ascii="Times New Roman" w:hAnsi="Times New Roman" w:eastAsia="Times New Roman" w:cs="Times New Roman"/>
      <w:color w:val="auto"/>
      <w:kern w:val="0"/>
      <w:sz w:val="24"/>
      <w:szCs w:val="24"/>
      <w:lang w:val="tr-TR" w:eastAsia="zh-CN" w:bidi="hi-IN"/>
    </w:rPr>
  </w:style>
  <w:style w:type="paragraph" w:styleId="Heading1">
    <w:name w:val="heading 1"/>
    <w:basedOn w:val="Balkuser"/>
    <w:qFormat/>
    <w:pPr>
      <w:spacing w:lineRule="auto" w:line="276" w:before="240" w:after="120"/>
      <w:jc w:val="start"/>
      <w:outlineLvl w:val="0"/>
    </w:pPr>
    <w:rPr>
      <w:rFonts w:ascii="Times New Roman" w:hAnsi="Times New Roman" w:eastAsia="Times New Roman" w:cs="Times New Roman"/>
      <w:b/>
      <w:bCs/>
      <w:sz w:val="32"/>
      <w:szCs w:val="32"/>
    </w:rPr>
  </w:style>
  <w:style w:type="paragraph" w:styleId="Heading2">
    <w:name w:val="heading 2"/>
    <w:basedOn w:val="Balkuser"/>
    <w:qFormat/>
    <w:pPr>
      <w:spacing w:lineRule="auto" w:line="276" w:before="220" w:after="110"/>
      <w:jc w:val="start"/>
      <w:outlineLvl w:val="1"/>
    </w:pPr>
    <w:rPr>
      <w:rFonts w:ascii="Times New Roman" w:hAnsi="Times New Roman" w:eastAsia="Times New Roman" w:cs="Times New Roman"/>
      <w:b/>
      <w:bCs/>
      <w:sz w:val="28"/>
      <w:szCs w:val="28"/>
    </w:rPr>
  </w:style>
  <w:style w:type="paragraph" w:styleId="Heading3">
    <w:name w:val="heading 3"/>
    <w:basedOn w:val="Balkuser"/>
    <w:qFormat/>
    <w:pPr>
      <w:spacing w:lineRule="auto" w:line="276" w:before="200" w:after="100"/>
      <w:jc w:val="start"/>
      <w:outlineLvl w:val="2"/>
    </w:pPr>
    <w:rPr>
      <w:rFonts w:ascii="Times New Roman" w:hAnsi="Times New Roman" w:eastAsia="Times New Roman" w:cs="Times New Roman"/>
      <w:b/>
      <w:bCs/>
      <w:sz w:val="26"/>
      <w:szCs w:val="26"/>
    </w:rPr>
  </w:style>
  <w:style w:type="paragraph" w:styleId="Heading4">
    <w:name w:val="heading 4"/>
    <w:basedOn w:val="Balkuser"/>
    <w:qFormat/>
    <w:pPr>
      <w:spacing w:lineRule="auto" w:line="276" w:before="180" w:after="90"/>
      <w:jc w:val="start"/>
      <w:outlineLvl w:val="3"/>
    </w:pPr>
    <w:rPr>
      <w:rFonts w:ascii="Times New Roman" w:hAnsi="Times New Roman" w:eastAsia="Times New Roman" w:cs="Times New Roman"/>
      <w:b/>
      <w:bCs/>
      <w:i/>
      <w:iCs/>
      <w:sz w:val="25"/>
      <w:szCs w:val="25"/>
    </w:rPr>
  </w:style>
  <w:style w:type="paragraph" w:styleId="Heading5">
    <w:name w:val="heading 5"/>
    <w:basedOn w:val="Balkuser"/>
    <w:qFormat/>
    <w:pPr>
      <w:spacing w:lineRule="auto" w:line="276" w:before="160" w:after="80"/>
      <w:jc w:val="start"/>
      <w:outlineLvl w:val="4"/>
    </w:pPr>
    <w:rPr>
      <w:rFonts w:ascii="Times New Roman" w:hAnsi="Times New Roman" w:eastAsia="Times New Roman" w:cs="Times New Roman"/>
      <w:i/>
      <w:iCs/>
      <w:sz w:val="24"/>
      <w:szCs w:val="24"/>
    </w:rPr>
  </w:style>
  <w:style w:type="paragraph" w:styleId="Heading6">
    <w:name w:val="heading 6"/>
    <w:basedOn w:val="Balkuser"/>
    <w:qFormat/>
    <w:pPr>
      <w:spacing w:lineRule="auto" w:line="276" w:before="140" w:after="70"/>
      <w:jc w:val="start"/>
      <w:outlineLvl w:val="5"/>
    </w:pPr>
    <w:rPr>
      <w:rFonts w:ascii="Times New Roman" w:hAnsi="Times New Roman" w:eastAsia="Times New Roman" w:cs="Times New Roman"/>
      <w:i/>
      <w:iCs/>
      <w:sz w:val="24"/>
      <w:szCs w:val="24"/>
    </w:rPr>
  </w:style>
  <w:style w:type="character" w:styleId="Hyperlink">
    <w:name w:val="Hyperlink"/>
    <w:uiPriority w:val="99"/>
    <w:unhideWhenUsed/>
    <w:rPr>
      <w:color w:val="0563C1"/>
      <w:u w:val="single" w:color="0563C1"/>
    </w:rPr>
  </w:style>
  <w:style w:type="character" w:styleId="DipnotKarakterleriuser">
    <w:name w:val="Dipnot Karakterleri (user)"/>
    <w:uiPriority w:val="99"/>
    <w:semiHidden/>
    <w:unhideWhenUsed/>
    <w:rPr>
      <w:vertAlign w:val="superscript"/>
    </w:rPr>
  </w:style>
  <w:style w:type="character" w:styleId="DipnotKarakterleri">
    <w:name w:val="Dipnot Karakterleri"/>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rPr>
      <w:sz w:val="20"/>
      <w:szCs w:val="20"/>
    </w:rPr>
  </w:style>
  <w:style w:type="character" w:styleId="NumaralamaSembolleriuser">
    <w:name w:val="Numaralama Sembolleri (user)"/>
    <w:rPr/>
  </w:style>
  <w:style w:type="character" w:styleId="NumaralamaSembolleri">
    <w:name w:val="Numaralama Sembolleri"/>
    <w:rPr/>
  </w:style>
  <w:style w:type="paragraph" w:styleId="Balk">
    <w:name w:val="Başlık"/>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Dizin">
    <w:name w:val="Dizin"/>
    <w:basedOn w:val="Normal"/>
    <w:pPr>
      <w:suppressLineNumbers/>
    </w:pPr>
    <w:rPr>
      <w:rFonts w:cs="Lucida Sans"/>
    </w:rPr>
  </w:style>
  <w:style w:type="paragraph" w:styleId="Balkuser">
    <w:name w:val="Başlık (user)"/>
    <w:basedOn w:val="Normal"/>
    <w:next w:val="BodyText"/>
    <w:pPr>
      <w:keepNext w:val="true"/>
      <w:spacing w:before="240" w:after="120"/>
    </w:pPr>
    <w:rPr>
      <w:rFonts w:ascii="Liberation Sans" w:hAnsi="Liberation Sans" w:eastAsia="Microsoft YaHei" w:cs="Lucida Sans"/>
      <w:sz w:val="28"/>
      <w:szCs w:val="28"/>
    </w:rPr>
  </w:style>
  <w:style w:type="paragraph" w:styleId="Dizinuser">
    <w:name w:val="Dizin (user)"/>
    <w:basedOn w:val="Normal"/>
    <w:pPr>
      <w:suppressLineNumbers/>
    </w:pPr>
    <w:rPr>
      <w:rFonts w:cs="Lucida Sans"/>
    </w:rPr>
  </w:style>
  <w:style w:type="paragraph" w:styleId="Title">
    <w:name w:val="Title"/>
    <w:basedOn w:val="Balkuser"/>
    <w:qFormat/>
    <w:pPr/>
    <w:rPr>
      <w:sz w:val="56"/>
      <w:szCs w:val="56"/>
    </w:rPr>
  </w:style>
  <w:style w:type="paragraph" w:styleId="StrongEmphasis">
    <w:name w:val="Strong Emphasis"/>
    <w:qFormat/>
    <w:pPr>
      <w:widowControl/>
      <w:suppressAutoHyphens w:val="true"/>
      <w:bidi w:val="0"/>
      <w:spacing w:lineRule="auto" w:line="276" w:before="0" w:after="120"/>
      <w:jc w:val="both"/>
    </w:pPr>
    <w:rPr>
      <w:rFonts w:ascii="Times New Roman" w:hAnsi="Times New Roman" w:eastAsia="Times New Roman" w:cs="Times New Roman"/>
      <w:b/>
      <w:bCs/>
      <w:color w:val="auto"/>
      <w:kern w:val="0"/>
      <w:sz w:val="24"/>
      <w:szCs w:val="24"/>
      <w:lang w:val="tr-TR" w:eastAsia="zh-CN" w:bidi="hi-IN"/>
    </w:rPr>
  </w:style>
  <w:style w:type="paragraph" w:styleId="ListParagraph">
    <w:name w:val="List Paragraph"/>
    <w:qFormat/>
    <w:pPr>
      <w:widowControl/>
      <w:suppressAutoHyphens w:val="true"/>
      <w:bidi w:val="0"/>
      <w:spacing w:lineRule="auto" w:line="276" w:before="0" w:after="120"/>
      <w:jc w:val="both"/>
    </w:pPr>
    <w:rPr>
      <w:rFonts w:ascii="Times New Roman" w:hAnsi="Times New Roman" w:eastAsia="Times New Roman" w:cs="Times New Roman"/>
      <w:color w:val="auto"/>
      <w:kern w:val="0"/>
      <w:sz w:val="24"/>
      <w:szCs w:val="24"/>
      <w:lang w:val="tr-T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DefaultParagraph">
    <w:name w:val="Default Paragraph"/>
    <w:qFormat/>
    <w:pPr>
      <w:widowControl/>
      <w:suppressAutoHyphens w:val="true"/>
      <w:bidi w:val="0"/>
      <w:spacing w:lineRule="auto" w:line="276" w:before="0" w:after="120"/>
      <w:jc w:val="both"/>
    </w:pPr>
    <w:rPr>
      <w:rFonts w:ascii="Times New Roman" w:hAnsi="Times New Roman" w:eastAsia="Times New Roman" w:cs="Times New Roman"/>
      <w:color w:val="auto"/>
      <w:kern w:val="0"/>
      <w:sz w:val="24"/>
      <w:szCs w:val="24"/>
      <w:lang w:val="tr-TR" w:eastAsia="zh-CN" w:bidi="hi-IN"/>
    </w:rPr>
  </w:style>
  <w:style w:type="paragraph" w:styleId="TitleStyle">
    <w:name w:val="Title Style"/>
    <w:pPr>
      <w:widowControl/>
      <w:suppressAutoHyphens w:val="true"/>
      <w:bidi w:val="0"/>
      <w:spacing w:lineRule="auto" w:line="276" w:before="100" w:after="200"/>
      <w:jc w:val="center"/>
    </w:pPr>
    <w:rPr>
      <w:rFonts w:ascii="Times New Roman" w:hAnsi="Times New Roman" w:eastAsia="Times New Roman" w:cs="Times New Roman"/>
      <w:b/>
      <w:bCs/>
      <w:color w:val="auto"/>
      <w:kern w:val="0"/>
      <w:sz w:val="48"/>
      <w:szCs w:val="48"/>
      <w:lang w:val="tr-TR" w:eastAsia="zh-CN" w:bidi="hi-IN"/>
    </w:rPr>
  </w:style>
  <w:style w:type="paragraph" w:styleId="SectionTitle">
    <w:name w:val="Section Title"/>
    <w:pPr>
      <w:widowControl/>
      <w:suppressAutoHyphens w:val="true"/>
      <w:bidi w:val="0"/>
      <w:spacing w:lineRule="auto" w:line="276" w:before="300" w:after="200"/>
      <w:jc w:val="start"/>
    </w:pPr>
    <w:rPr>
      <w:rFonts w:ascii="Times New Roman" w:hAnsi="Times New Roman" w:eastAsia="Times New Roman" w:cs="Times New Roman"/>
      <w:b/>
      <w:bCs/>
      <w:color w:val="auto"/>
      <w:kern w:val="0"/>
      <w:sz w:val="36"/>
      <w:szCs w:val="36"/>
      <w:lang w:val="tr-TR" w:eastAsia="zh-CN" w:bidi="hi-IN"/>
    </w:rPr>
  </w:style>
  <w:style w:type="paragraph" w:styleId="ReferenceTitle">
    <w:name w:val="Reference Title"/>
    <w:pPr>
      <w:widowControl/>
      <w:suppressAutoHyphens w:val="true"/>
      <w:bidi w:val="0"/>
      <w:spacing w:lineRule="auto" w:line="276" w:before="200" w:after="150"/>
      <w:jc w:val="start"/>
    </w:pPr>
    <w:rPr>
      <w:rFonts w:ascii="Times New Roman" w:hAnsi="Times New Roman" w:eastAsia="Times New Roman" w:cs="Times New Roman"/>
      <w:b/>
      <w:bCs/>
      <w:color w:val="auto"/>
      <w:kern w:val="0"/>
      <w:sz w:val="32"/>
      <w:szCs w:val="32"/>
      <w:lang w:val="tr-TR" w:eastAsia="zh-CN" w:bidi="hi-IN"/>
    </w:rPr>
  </w:style>
  <w:style w:type="paragraph" w:styleId="ReferenceSectionTitle">
    <w:name w:val="Reference Section Title"/>
    <w:pPr>
      <w:widowControl/>
      <w:suppressAutoHyphens w:val="true"/>
      <w:bidi w:val="0"/>
      <w:spacing w:lineRule="auto" w:line="276" w:before="150" w:after="100"/>
      <w:jc w:val="start"/>
    </w:pPr>
    <w:rPr>
      <w:rFonts w:ascii="Times New Roman" w:hAnsi="Times New Roman" w:eastAsia="Times New Roman" w:cs="Times New Roman"/>
      <w:b/>
      <w:bCs/>
      <w:color w:val="auto"/>
      <w:kern w:val="0"/>
      <w:sz w:val="28"/>
      <w:szCs w:val="28"/>
      <w:lang w:val="tr-TR" w:eastAsia="zh-CN" w:bidi="hi-IN"/>
    </w:rPr>
  </w:style>
  <w:style w:type="paragraph" w:styleId="ReferenceItem">
    <w:name w:val="Reference Item"/>
    <w:basedOn w:val="DefaultParagraph"/>
    <w:pPr>
      <w:spacing w:lineRule="auto" w:line="276" w:before="0" w:after="60"/>
      <w:jc w:val="both"/>
    </w:pPr>
    <w:rPr>
      <w:rFonts w:ascii="Times New Roman" w:hAnsi="Times New Roman" w:eastAsia="Times New Roman" w:cs="Times New Roman"/>
      <w:sz w:val="24"/>
      <w:szCs w:val="24"/>
    </w:rPr>
  </w:style>
  <w:style w:type="paragraph" w:styleId="Blockquote">
    <w:name w:val="Blockquote"/>
    <w:basedOn w:val="DefaultParagraph"/>
    <w:pPr>
      <w:spacing w:lineRule="auto" w:line="276" w:before="100" w:after="100"/>
      <w:ind w:start="720" w:end="720"/>
      <w:jc w:val="both"/>
    </w:pPr>
    <w:rPr>
      <w:rFonts w:ascii="Times New Roman" w:hAnsi="Times New Roman" w:eastAsia="Times New Roman" w:cs="Times New Roman"/>
      <w:i/>
      <w:iCs/>
      <w:color w:val="595959"/>
    </w:rPr>
  </w:style>
  <w:style w:type="paragraph" w:styleId="stBilgiveAltBilgiuser">
    <w:name w:val="Üst Bilgi ve Alt Bilgi (user)"/>
    <w:basedOn w:val="Normal"/>
    <w:pPr/>
    <w:rPr/>
  </w:style>
  <w:style w:type="paragraph" w:styleId="stBilgiveAltBilgi">
    <w:name w:val="Üst Bilgi ve Alt Bilgi"/>
    <w:basedOn w:val="Normal"/>
    <w:pPr/>
    <w:rPr/>
  </w:style>
  <w:style w:type="paragraph" w:styleId="Footer">
    <w:name w:val="footer"/>
    <w:basedOn w:val="stBilgiveAltBilgius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LibreOffice/26.8.0.3$Windows_X86_64 LibreOffice_project/bce0998afefdbc355585ca324285661a2170ba77</Application>
  <AppVersion>15.0000</AppVersion>
  <Pages>2</Pages>
  <Words>395</Words>
  <Characters>2687</Characters>
  <CharactersWithSpaces>3041</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2026-09-22T11:08:56Z</dcterms:created>
  <dc:creator>Un-named</dc:creator>
  <dc:description/>
  <dc:language>tr-TR</dc:language>
  <cp:lastModifiedBy/>
  <dcterms:modified xsi:type="dcterms:W3CDTF">2026-09-24T12:16:37Z</dcterms:modified>
  <cp:revision>3</cp:revision>
  <dc:subject/>
  <dc:title>Derin Arastirma Raporu</dc:title>
</cp:coreProperties>
</file>

<file path=docProps/custom.xml><?xml version="1.0" encoding="utf-8"?>
<Properties xmlns="http://schemas.openxmlformats.org/officeDocument/2006/custom-properties" xmlns:vt="http://schemas.openxmlformats.org/officeDocument/2006/docPropsVTypes"/>
</file>